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640D0" w14:textId="265A287B" w:rsidR="000D523F" w:rsidRPr="000D523F" w:rsidRDefault="000D523F" w:rsidP="000D523F">
      <w:pPr>
        <w:jc w:val="center"/>
        <w:rPr>
          <w:rFonts w:ascii="Times New Roman" w:hAnsi="Times New Roman" w:cs="Times New Roman"/>
          <w:b/>
          <w:i/>
        </w:rPr>
      </w:pPr>
      <w:proofErr w:type="gramStart"/>
      <w:r w:rsidRPr="000D523F">
        <w:rPr>
          <w:rFonts w:ascii="Times New Roman" w:hAnsi="Times New Roman" w:cs="Times New Roman"/>
          <w:b/>
          <w:i/>
        </w:rPr>
        <w:t>Preliminary draft 4/14/15.</w:t>
      </w:r>
      <w:proofErr w:type="gramEnd"/>
      <w:r w:rsidRPr="000D523F">
        <w:rPr>
          <w:rFonts w:ascii="Times New Roman" w:hAnsi="Times New Roman" w:cs="Times New Roman"/>
          <w:b/>
          <w:i/>
        </w:rPr>
        <w:t xml:space="preserve">  Please do not quote or c</w:t>
      </w:r>
      <w:bookmarkStart w:id="0" w:name="_GoBack"/>
      <w:bookmarkEnd w:id="0"/>
      <w:r w:rsidRPr="000D523F">
        <w:rPr>
          <w:rFonts w:ascii="Times New Roman" w:hAnsi="Times New Roman" w:cs="Times New Roman"/>
          <w:b/>
          <w:i/>
        </w:rPr>
        <w:t>ite without permission</w:t>
      </w:r>
    </w:p>
    <w:p w14:paraId="29EA8E19" w14:textId="77777777" w:rsidR="000D523F" w:rsidRDefault="000D523F" w:rsidP="00B23FD4">
      <w:pPr>
        <w:jc w:val="center"/>
        <w:rPr>
          <w:rFonts w:ascii="Times New Roman" w:hAnsi="Times New Roman" w:cs="Times New Roman"/>
          <w:b/>
          <w:sz w:val="28"/>
          <w:szCs w:val="28"/>
        </w:rPr>
      </w:pPr>
    </w:p>
    <w:p w14:paraId="1B9122A3" w14:textId="77777777" w:rsidR="000D523F" w:rsidRDefault="000D523F" w:rsidP="00B23FD4">
      <w:pPr>
        <w:jc w:val="center"/>
        <w:rPr>
          <w:rFonts w:ascii="Times New Roman" w:hAnsi="Times New Roman" w:cs="Times New Roman"/>
          <w:b/>
          <w:sz w:val="28"/>
          <w:szCs w:val="28"/>
        </w:rPr>
      </w:pPr>
    </w:p>
    <w:p w14:paraId="5D81BFB4" w14:textId="3DDB9215" w:rsidR="00F13D3B" w:rsidRPr="00F13D3B" w:rsidRDefault="006F3838" w:rsidP="00B23FD4">
      <w:pPr>
        <w:jc w:val="center"/>
        <w:rPr>
          <w:b/>
          <w:sz w:val="28"/>
          <w:szCs w:val="28"/>
        </w:rPr>
      </w:pPr>
      <w:r w:rsidRPr="00BB7C87">
        <w:rPr>
          <w:rFonts w:ascii="Times New Roman" w:hAnsi="Times New Roman" w:cs="Times New Roman"/>
          <w:b/>
          <w:sz w:val="28"/>
          <w:szCs w:val="28"/>
        </w:rPr>
        <w:t xml:space="preserve">CONTRACT DESIGN AND THE </w:t>
      </w:r>
      <w:r>
        <w:rPr>
          <w:rFonts w:ascii="Times New Roman" w:hAnsi="Times New Roman" w:cs="Times New Roman"/>
          <w:b/>
          <w:sz w:val="28"/>
          <w:szCs w:val="28"/>
        </w:rPr>
        <w:t xml:space="preserve">GOLDILOCKS </w:t>
      </w:r>
      <w:r w:rsidR="00F13D3B">
        <w:rPr>
          <w:rFonts w:ascii="Times New Roman" w:hAnsi="Times New Roman" w:cs="Times New Roman"/>
          <w:b/>
          <w:sz w:val="28"/>
          <w:szCs w:val="28"/>
        </w:rPr>
        <w:t>PROBLEM</w:t>
      </w:r>
    </w:p>
    <w:p w14:paraId="55A4466A" w14:textId="77777777" w:rsidR="00F13D3B" w:rsidRDefault="00F13D3B" w:rsidP="00E96EB9">
      <w:pPr>
        <w:spacing w:line="360" w:lineRule="auto"/>
        <w:rPr>
          <w:rFonts w:ascii="Times New Roman" w:hAnsi="Times New Roman" w:cs="Times New Roman"/>
        </w:rPr>
      </w:pPr>
    </w:p>
    <w:p w14:paraId="56CBA4E5" w14:textId="2828D656" w:rsidR="00F13D3B" w:rsidRDefault="00F3538B" w:rsidP="00F3538B">
      <w:pPr>
        <w:spacing w:line="360" w:lineRule="auto"/>
        <w:jc w:val="center"/>
        <w:rPr>
          <w:rFonts w:ascii="Times New Roman" w:hAnsi="Times New Roman"/>
          <w:b/>
          <w:i/>
        </w:rPr>
      </w:pPr>
      <w:r>
        <w:rPr>
          <w:rFonts w:ascii="Times New Roman" w:hAnsi="Times New Roman" w:cs="Times New Roman"/>
          <w:b/>
          <w:i/>
        </w:rPr>
        <w:t>Robert E. Scott</w:t>
      </w:r>
      <w:r w:rsidRPr="00423360">
        <w:rPr>
          <w:rStyle w:val="FootnoteReference"/>
          <w:rFonts w:ascii="Times New Roman" w:hAnsi="Times New Roman"/>
          <w:b/>
          <w:i/>
          <w:sz w:val="32"/>
          <w:szCs w:val="32"/>
        </w:rPr>
        <w:footnoteReference w:customMarkFollows="1" w:id="1"/>
        <w:sym w:font="Symbol" w:char="F02A"/>
      </w:r>
    </w:p>
    <w:p w14:paraId="6D76E06B" w14:textId="77777777" w:rsidR="00F3538B" w:rsidRDefault="00F3538B" w:rsidP="00F3538B">
      <w:pPr>
        <w:spacing w:line="360" w:lineRule="auto"/>
        <w:jc w:val="center"/>
        <w:rPr>
          <w:rFonts w:ascii="Times New Roman" w:hAnsi="Times New Roman"/>
          <w:b/>
          <w:i/>
        </w:rPr>
      </w:pPr>
    </w:p>
    <w:p w14:paraId="1A7023F7" w14:textId="07672AF6" w:rsidR="00F3538B" w:rsidRPr="00663E8D" w:rsidRDefault="00F3538B" w:rsidP="00F3538B">
      <w:pPr>
        <w:spacing w:line="360" w:lineRule="auto"/>
        <w:jc w:val="center"/>
        <w:rPr>
          <w:rFonts w:ascii="Times New Roman" w:hAnsi="Times New Roman"/>
          <w:b/>
          <w:bCs/>
          <w:smallCaps/>
        </w:rPr>
      </w:pPr>
      <w:r w:rsidRPr="00663E8D">
        <w:rPr>
          <w:rFonts w:ascii="Times New Roman" w:hAnsi="Times New Roman"/>
          <w:b/>
          <w:bCs/>
          <w:smallCaps/>
        </w:rPr>
        <w:t>Introduction</w:t>
      </w:r>
    </w:p>
    <w:p w14:paraId="21A1B461" w14:textId="77777777" w:rsidR="002B5877" w:rsidRDefault="002B5877" w:rsidP="002B5877">
      <w:pPr>
        <w:pStyle w:val="Body1"/>
        <w:spacing w:line="360" w:lineRule="auto"/>
        <w:ind w:firstLine="720"/>
        <w:rPr>
          <w:rFonts w:ascii="Times New Roman" w:hAnsi="Times New Roman"/>
        </w:rPr>
      </w:pPr>
    </w:p>
    <w:p w14:paraId="74714F7A" w14:textId="2142FCE2" w:rsidR="00D84D42" w:rsidRDefault="002624BC" w:rsidP="002B5877">
      <w:pPr>
        <w:pStyle w:val="Body1"/>
        <w:spacing w:line="360" w:lineRule="auto"/>
        <w:ind w:firstLine="720"/>
        <w:rPr>
          <w:rFonts w:ascii="Times New Roman" w:hAnsi="Times New Roman"/>
        </w:rPr>
      </w:pPr>
      <w:r>
        <w:rPr>
          <w:rFonts w:ascii="Times New Roman" w:hAnsi="Times New Roman"/>
        </w:rPr>
        <w:t>The law and economics of contract has had a great forty-</w:t>
      </w:r>
      <w:r w:rsidR="00EB40CE">
        <w:rPr>
          <w:rFonts w:ascii="Times New Roman" w:hAnsi="Times New Roman"/>
        </w:rPr>
        <w:t xml:space="preserve">year run.  Four Nobel Prizes </w:t>
      </w:r>
      <w:r>
        <w:rPr>
          <w:rFonts w:ascii="Times New Roman" w:hAnsi="Times New Roman"/>
        </w:rPr>
        <w:t>have been awarded for breakthroughs in the economics of information</w:t>
      </w:r>
      <w:r w:rsidR="000B002A">
        <w:rPr>
          <w:rFonts w:ascii="Times New Roman" w:hAnsi="Times New Roman"/>
        </w:rPr>
        <w:t xml:space="preserve"> with others probably yet to come.  And</w:t>
      </w:r>
      <w:r w:rsidR="00C3366A">
        <w:rPr>
          <w:rFonts w:ascii="Times New Roman" w:hAnsi="Times New Roman"/>
        </w:rPr>
        <w:t>, on the law side</w:t>
      </w:r>
      <w:r w:rsidR="000B002A">
        <w:rPr>
          <w:rFonts w:ascii="Times New Roman" w:hAnsi="Times New Roman"/>
        </w:rPr>
        <w:t xml:space="preserve"> there have been a number of seminal papers explicating the </w:t>
      </w:r>
      <w:r>
        <w:rPr>
          <w:rFonts w:ascii="Times New Roman" w:hAnsi="Times New Roman"/>
        </w:rPr>
        <w:t xml:space="preserve">economic </w:t>
      </w:r>
      <w:r w:rsidR="000B002A">
        <w:rPr>
          <w:rFonts w:ascii="Times New Roman" w:hAnsi="Times New Roman"/>
        </w:rPr>
        <w:t xml:space="preserve">logic of contract law as well </w:t>
      </w:r>
      <w:r>
        <w:rPr>
          <w:rFonts w:ascii="Times New Roman" w:hAnsi="Times New Roman"/>
        </w:rPr>
        <w:t xml:space="preserve">as </w:t>
      </w:r>
      <w:r w:rsidR="000B002A">
        <w:rPr>
          <w:rFonts w:ascii="Times New Roman" w:hAnsi="Times New Roman"/>
        </w:rPr>
        <w:t xml:space="preserve">offering trenchant normative critiques of inefficient doctrines.  But </w:t>
      </w:r>
      <w:r w:rsidR="009509FC">
        <w:rPr>
          <w:rFonts w:ascii="Times New Roman" w:hAnsi="Times New Roman"/>
        </w:rPr>
        <w:t>despite these advances,</w:t>
      </w:r>
      <w:r w:rsidR="000B002A">
        <w:rPr>
          <w:rFonts w:ascii="Times New Roman" w:hAnsi="Times New Roman"/>
        </w:rPr>
        <w:t xml:space="preserve"> </w:t>
      </w:r>
      <w:r w:rsidR="006B6D5E">
        <w:rPr>
          <w:rFonts w:ascii="Times New Roman" w:hAnsi="Times New Roman"/>
        </w:rPr>
        <w:t xml:space="preserve">contract design, the central subject at the core of the law and economics of contract, </w:t>
      </w:r>
      <w:r w:rsidR="009509FC">
        <w:rPr>
          <w:rFonts w:ascii="Times New Roman" w:hAnsi="Times New Roman"/>
        </w:rPr>
        <w:t>remains something of a mystery.</w:t>
      </w:r>
      <w:r>
        <w:rPr>
          <w:rFonts w:ascii="Times New Roman" w:hAnsi="Times New Roman"/>
        </w:rPr>
        <w:t xml:space="preserve"> </w:t>
      </w:r>
      <w:r w:rsidR="000B002A">
        <w:rPr>
          <w:rFonts w:ascii="Times New Roman" w:hAnsi="Times New Roman"/>
        </w:rPr>
        <w:t xml:space="preserve">To be sure, there are a few notable papers and a well-developed (albeit largely </w:t>
      </w:r>
      <w:proofErr w:type="spellStart"/>
      <w:r w:rsidR="001E39B8">
        <w:rPr>
          <w:rFonts w:ascii="Times New Roman" w:hAnsi="Times New Roman"/>
        </w:rPr>
        <w:t>atheoretical</w:t>
      </w:r>
      <w:proofErr w:type="spellEnd"/>
      <w:r w:rsidR="000B002A">
        <w:rPr>
          <w:rFonts w:ascii="Times New Roman" w:hAnsi="Times New Roman"/>
        </w:rPr>
        <w:t xml:space="preserve">) strategic management literature on contract design choices </w:t>
      </w:r>
      <w:r w:rsidR="00C3366A">
        <w:rPr>
          <w:rStyle w:val="FootnoteReference"/>
          <w:rFonts w:ascii="Times New Roman" w:hAnsi="Times New Roman"/>
        </w:rPr>
        <w:footnoteReference w:id="2"/>
      </w:r>
      <w:r w:rsidR="000B002A">
        <w:rPr>
          <w:rFonts w:ascii="Times New Roman" w:hAnsi="Times New Roman"/>
        </w:rPr>
        <w:t>– but in truth we know very little about the factors that influence how parties in the re</w:t>
      </w:r>
      <w:r w:rsidR="00D84D42">
        <w:rPr>
          <w:rFonts w:ascii="Times New Roman" w:hAnsi="Times New Roman"/>
        </w:rPr>
        <w:t>al world design their contracts.</w:t>
      </w:r>
      <w:r w:rsidR="009509FC">
        <w:rPr>
          <w:rFonts w:ascii="Times New Roman" w:hAnsi="Times New Roman"/>
        </w:rPr>
        <w:t xml:space="preserve"> </w:t>
      </w:r>
      <w:r w:rsidR="000B002A">
        <w:rPr>
          <w:rFonts w:ascii="Times New Roman" w:hAnsi="Times New Roman"/>
        </w:rPr>
        <w:t>There are several reasons</w:t>
      </w:r>
      <w:r w:rsidR="006B6D5E">
        <w:rPr>
          <w:rFonts w:ascii="Times New Roman" w:hAnsi="Times New Roman"/>
        </w:rPr>
        <w:t xml:space="preserve"> for this </w:t>
      </w:r>
      <w:r w:rsidR="00C3366A">
        <w:rPr>
          <w:rFonts w:ascii="Times New Roman" w:hAnsi="Times New Roman"/>
        </w:rPr>
        <w:t>gap in our understanding</w:t>
      </w:r>
      <w:r w:rsidR="000B002A">
        <w:rPr>
          <w:rFonts w:ascii="Times New Roman" w:hAnsi="Times New Roman"/>
        </w:rPr>
        <w:t xml:space="preserve"> but </w:t>
      </w:r>
      <w:r w:rsidR="00D84D42">
        <w:rPr>
          <w:rFonts w:ascii="Times New Roman" w:hAnsi="Times New Roman"/>
        </w:rPr>
        <w:t>one in particular stands out:  Economic c</w:t>
      </w:r>
      <w:r w:rsidR="000B002A">
        <w:rPr>
          <w:rFonts w:ascii="Times New Roman" w:hAnsi="Times New Roman"/>
        </w:rPr>
        <w:t>ontract theory has failed badly in understanding the causes and effects of contract breach</w:t>
      </w:r>
      <w:r w:rsidR="00D84D42">
        <w:rPr>
          <w:rFonts w:ascii="Times New Roman" w:hAnsi="Times New Roman"/>
        </w:rPr>
        <w:t xml:space="preserve">. </w:t>
      </w:r>
      <w:r w:rsidR="00BF742A">
        <w:rPr>
          <w:rFonts w:ascii="Times New Roman" w:hAnsi="Times New Roman"/>
        </w:rPr>
        <w:t xml:space="preserve">One reason for this deficit is that breach is a difficult concept for economists to model.  In equilibrium there is no breach and economics focuses on equilibrium conditions. But common observation tells us that breach of contract is </w:t>
      </w:r>
      <w:r w:rsidR="00BF742A">
        <w:rPr>
          <w:rFonts w:ascii="Times New Roman" w:hAnsi="Times New Roman"/>
        </w:rPr>
        <w:lastRenderedPageBreak/>
        <w:t xml:space="preserve">ubiquitous.  Faced with this wide gap between theory and reality, the answers to a critical </w:t>
      </w:r>
      <w:r w:rsidR="001C147B">
        <w:rPr>
          <w:rFonts w:ascii="Times New Roman" w:hAnsi="Times New Roman"/>
        </w:rPr>
        <w:t xml:space="preserve">empirical </w:t>
      </w:r>
      <w:r w:rsidR="00BF742A">
        <w:rPr>
          <w:rFonts w:ascii="Times New Roman" w:hAnsi="Times New Roman"/>
        </w:rPr>
        <w:t xml:space="preserve">question remain elusive: how do sophisticated parties adjust ex ante to the prospect of breach ex post? </w:t>
      </w:r>
    </w:p>
    <w:p w14:paraId="1B6D43FC" w14:textId="77777777" w:rsidR="00D84D42" w:rsidRDefault="00D84D42" w:rsidP="002B5877">
      <w:pPr>
        <w:pStyle w:val="Body1"/>
        <w:spacing w:line="360" w:lineRule="auto"/>
        <w:ind w:firstLine="720"/>
        <w:rPr>
          <w:rFonts w:ascii="Times New Roman" w:hAnsi="Times New Roman"/>
        </w:rPr>
      </w:pPr>
    </w:p>
    <w:p w14:paraId="29450E4B" w14:textId="3D1672E8" w:rsidR="002B5877" w:rsidRDefault="00BF742A" w:rsidP="002B5877">
      <w:pPr>
        <w:pStyle w:val="Body1"/>
        <w:spacing w:line="360" w:lineRule="auto"/>
        <w:ind w:firstLine="720"/>
        <w:rPr>
          <w:rStyle w:val="FootnoteReference"/>
          <w:rFonts w:ascii="Times New Roman" w:hAnsi="Times New Roman"/>
          <w:szCs w:val="24"/>
        </w:rPr>
        <w:sectPr w:rsidR="002B5877" w:rsidSect="00DE67EE">
          <w:footerReference w:type="default" r:id="rId9"/>
          <w:pgSz w:w="12240" w:h="15840"/>
          <w:pgMar w:top="1440" w:right="1440" w:bottom="1440" w:left="1440" w:header="1440" w:footer="1440" w:gutter="0"/>
          <w:cols w:space="720"/>
          <w:noEndnote/>
        </w:sectPr>
      </w:pPr>
      <w:r>
        <w:rPr>
          <w:rFonts w:ascii="Times New Roman" w:hAnsi="Times New Roman"/>
        </w:rPr>
        <w:t xml:space="preserve">Understanding </w:t>
      </w:r>
      <w:r w:rsidR="001C147B">
        <w:rPr>
          <w:rFonts w:ascii="Times New Roman" w:hAnsi="Times New Roman"/>
        </w:rPr>
        <w:t xml:space="preserve">how </w:t>
      </w:r>
      <w:r>
        <w:rPr>
          <w:rFonts w:ascii="Times New Roman" w:hAnsi="Times New Roman"/>
        </w:rPr>
        <w:t>parties</w:t>
      </w:r>
      <w:r w:rsidR="001C147B">
        <w:rPr>
          <w:rFonts w:ascii="Times New Roman" w:hAnsi="Times New Roman"/>
        </w:rPr>
        <w:t xml:space="preserve"> adjust to the prospect of</w:t>
      </w:r>
      <w:r>
        <w:rPr>
          <w:rFonts w:ascii="Times New Roman" w:hAnsi="Times New Roman"/>
        </w:rPr>
        <w:t xml:space="preserve"> breach </w:t>
      </w:r>
      <w:r w:rsidR="00A2641B">
        <w:rPr>
          <w:rFonts w:ascii="Times New Roman" w:hAnsi="Times New Roman"/>
        </w:rPr>
        <w:t xml:space="preserve">is essential to a </w:t>
      </w:r>
      <w:r w:rsidR="001C147B">
        <w:rPr>
          <w:rFonts w:ascii="Times New Roman" w:hAnsi="Times New Roman"/>
        </w:rPr>
        <w:t xml:space="preserve">testable theory </w:t>
      </w:r>
      <w:r w:rsidR="00A2641B">
        <w:rPr>
          <w:rFonts w:ascii="Times New Roman" w:hAnsi="Times New Roman"/>
        </w:rPr>
        <w:t xml:space="preserve">of contract and nowhere is </w:t>
      </w:r>
      <w:r w:rsidR="001C147B">
        <w:rPr>
          <w:rFonts w:ascii="Times New Roman" w:hAnsi="Times New Roman"/>
        </w:rPr>
        <w:t>that knowledge</w:t>
      </w:r>
      <w:r w:rsidR="00A2641B">
        <w:rPr>
          <w:rFonts w:ascii="Times New Roman" w:hAnsi="Times New Roman"/>
        </w:rPr>
        <w:t xml:space="preserve"> </w:t>
      </w:r>
      <w:r w:rsidR="002B5877">
        <w:rPr>
          <w:rFonts w:ascii="Times New Roman" w:hAnsi="Times New Roman"/>
        </w:rPr>
        <w:t xml:space="preserve">more relevant today than in the current debate over contract interpretation.  </w:t>
      </w:r>
      <w:r w:rsidR="002B5877" w:rsidRPr="00CB789B">
        <w:rPr>
          <w:rFonts w:ascii="Times New Roman" w:hAnsi="Times New Roman"/>
          <w:szCs w:val="24"/>
        </w:rPr>
        <w:t xml:space="preserve">Contract interpretation remains the </w:t>
      </w:r>
      <w:r w:rsidR="002B5877">
        <w:rPr>
          <w:rFonts w:ascii="Times New Roman" w:hAnsi="Times New Roman"/>
          <w:szCs w:val="24"/>
        </w:rPr>
        <w:t xml:space="preserve">single </w:t>
      </w:r>
      <w:r w:rsidR="002B5877" w:rsidRPr="00CB789B">
        <w:rPr>
          <w:rFonts w:ascii="Times New Roman" w:hAnsi="Times New Roman"/>
          <w:szCs w:val="24"/>
        </w:rPr>
        <w:t xml:space="preserve">most important source of commercial litigation and the least </w:t>
      </w:r>
      <w:proofErr w:type="gramStart"/>
      <w:r w:rsidR="002B5877" w:rsidRPr="00CB789B">
        <w:rPr>
          <w:rFonts w:ascii="Times New Roman" w:hAnsi="Times New Roman"/>
          <w:szCs w:val="24"/>
        </w:rPr>
        <w:t>settled</w:t>
      </w:r>
      <w:r w:rsidR="002B5877">
        <w:rPr>
          <w:rFonts w:ascii="Times New Roman" w:hAnsi="Times New Roman"/>
          <w:szCs w:val="24"/>
        </w:rPr>
        <w:t>,</w:t>
      </w:r>
      <w:proofErr w:type="gramEnd"/>
      <w:r w:rsidR="002B5877" w:rsidRPr="00CB789B">
        <w:rPr>
          <w:rFonts w:ascii="Times New Roman" w:hAnsi="Times New Roman"/>
          <w:szCs w:val="24"/>
        </w:rPr>
        <w:t xml:space="preserve"> most contentious area of contemporary contract doctrine and scholarship.</w:t>
      </w:r>
      <w:r w:rsidR="003B3C6F">
        <w:rPr>
          <w:rStyle w:val="FootnoteReference"/>
          <w:rFonts w:ascii="Times New Roman" w:hAnsi="Times New Roman"/>
          <w:szCs w:val="24"/>
        </w:rPr>
        <w:footnoteReference w:id="3"/>
      </w:r>
      <w:r w:rsidR="003B3C6F">
        <w:rPr>
          <w:rFonts w:ascii="Times New Roman" w:hAnsi="Times New Roman"/>
          <w:szCs w:val="24"/>
        </w:rPr>
        <w:t xml:space="preserve"> </w:t>
      </w:r>
      <w:r w:rsidR="002B5877" w:rsidRPr="00CB789B">
        <w:rPr>
          <w:rFonts w:ascii="Times New Roman" w:hAnsi="Times New Roman"/>
          <w:szCs w:val="24"/>
        </w:rPr>
        <w:t xml:space="preserve"> </w:t>
      </w:r>
      <w:r w:rsidR="002B5877">
        <w:rPr>
          <w:rFonts w:ascii="Times New Roman" w:hAnsi="Times New Roman"/>
          <w:szCs w:val="24"/>
        </w:rPr>
        <w:t xml:space="preserve">Framed by the </w:t>
      </w:r>
      <w:r w:rsidR="002B5877" w:rsidRPr="00C16AB5">
        <w:rPr>
          <w:rFonts w:ascii="Times New Roman" w:hAnsi="Times New Roman"/>
          <w:szCs w:val="24"/>
        </w:rPr>
        <w:t xml:space="preserve">battle between the titans of contract, </w:t>
      </w:r>
      <w:r w:rsidR="002B5877">
        <w:rPr>
          <w:rFonts w:ascii="Times New Roman" w:hAnsi="Times New Roman"/>
          <w:szCs w:val="24"/>
        </w:rPr>
        <w:t xml:space="preserve">Samuel </w:t>
      </w:r>
      <w:r w:rsidR="002B5877" w:rsidRPr="00C16AB5">
        <w:rPr>
          <w:rFonts w:ascii="Times New Roman" w:hAnsi="Times New Roman"/>
          <w:szCs w:val="24"/>
        </w:rPr>
        <w:t xml:space="preserve">Williston and </w:t>
      </w:r>
      <w:r w:rsidR="002B5877">
        <w:rPr>
          <w:rFonts w:ascii="Times New Roman" w:hAnsi="Times New Roman"/>
          <w:szCs w:val="24"/>
        </w:rPr>
        <w:t xml:space="preserve">Arthur </w:t>
      </w:r>
      <w:r w:rsidR="002B5877" w:rsidRPr="00C16AB5">
        <w:rPr>
          <w:rFonts w:ascii="Times New Roman" w:hAnsi="Times New Roman"/>
          <w:szCs w:val="24"/>
        </w:rPr>
        <w:t>Corbin, and cont</w:t>
      </w:r>
      <w:r w:rsidR="002B5877">
        <w:rPr>
          <w:rFonts w:ascii="Times New Roman" w:hAnsi="Times New Roman"/>
          <w:szCs w:val="24"/>
        </w:rPr>
        <w:t>inuing to the present, two opposing</w:t>
      </w:r>
      <w:r w:rsidR="002B5877" w:rsidRPr="00C16AB5">
        <w:rPr>
          <w:rFonts w:ascii="Times New Roman" w:hAnsi="Times New Roman"/>
          <w:szCs w:val="24"/>
        </w:rPr>
        <w:t xml:space="preserve"> positions have </w:t>
      </w:r>
      <w:r w:rsidR="002B5877">
        <w:rPr>
          <w:rFonts w:ascii="Times New Roman" w:hAnsi="Times New Roman"/>
          <w:szCs w:val="24"/>
        </w:rPr>
        <w:t xml:space="preserve">competed for </w:t>
      </w:r>
      <w:r w:rsidR="002B5877" w:rsidRPr="00C16AB5">
        <w:rPr>
          <w:rFonts w:ascii="Times New Roman" w:hAnsi="Times New Roman"/>
          <w:szCs w:val="24"/>
        </w:rPr>
        <w:t>dom</w:t>
      </w:r>
      <w:r w:rsidR="002B5877">
        <w:rPr>
          <w:rFonts w:ascii="Times New Roman" w:hAnsi="Times New Roman"/>
          <w:szCs w:val="24"/>
        </w:rPr>
        <w:t>inance</w:t>
      </w:r>
      <w:r w:rsidR="002B5877" w:rsidRPr="00C16AB5">
        <w:rPr>
          <w:rFonts w:ascii="Times New Roman" w:hAnsi="Times New Roman"/>
          <w:szCs w:val="24"/>
        </w:rPr>
        <w:t xml:space="preserve"> </w:t>
      </w:r>
      <w:r w:rsidR="002B5877">
        <w:rPr>
          <w:rFonts w:ascii="Times New Roman" w:hAnsi="Times New Roman"/>
          <w:szCs w:val="24"/>
        </w:rPr>
        <w:t>in</w:t>
      </w:r>
      <w:r w:rsidR="002B5877" w:rsidRPr="00C16AB5">
        <w:rPr>
          <w:rFonts w:ascii="Times New Roman" w:hAnsi="Times New Roman"/>
          <w:szCs w:val="24"/>
        </w:rPr>
        <w:t xml:space="preserve"> contract interpretation.</w:t>
      </w:r>
      <w:r w:rsidR="002B5877">
        <w:rPr>
          <w:rFonts w:ascii="Times New Roman" w:hAnsi="Times New Roman"/>
          <w:szCs w:val="24"/>
        </w:rPr>
        <w:t xml:space="preserve"> </w:t>
      </w:r>
      <w:r w:rsidR="002B5877" w:rsidRPr="00C16AB5">
        <w:rPr>
          <w:rFonts w:ascii="Times New Roman" w:hAnsi="Times New Roman"/>
          <w:szCs w:val="24"/>
        </w:rPr>
        <w:t xml:space="preserve"> </w:t>
      </w:r>
      <w:r w:rsidR="00A23567">
        <w:rPr>
          <w:rFonts w:ascii="Times New Roman" w:hAnsi="Times New Roman"/>
          <w:szCs w:val="24"/>
        </w:rPr>
        <w:t xml:space="preserve">Many (indeed most) states </w:t>
      </w:r>
      <w:r w:rsidR="002B5877">
        <w:rPr>
          <w:rFonts w:ascii="Times New Roman" w:hAnsi="Times New Roman"/>
          <w:szCs w:val="24"/>
        </w:rPr>
        <w:t>follow a traditional common law, “</w:t>
      </w:r>
      <w:proofErr w:type="spellStart"/>
      <w:r w:rsidR="002B5877">
        <w:rPr>
          <w:rFonts w:ascii="Times New Roman" w:hAnsi="Times New Roman"/>
          <w:szCs w:val="24"/>
        </w:rPr>
        <w:t>textualist</w:t>
      </w:r>
      <w:proofErr w:type="spellEnd"/>
      <w:r w:rsidR="002B5877">
        <w:rPr>
          <w:rFonts w:ascii="Times New Roman" w:hAnsi="Times New Roman"/>
          <w:szCs w:val="24"/>
        </w:rPr>
        <w:t>” approach to interpretation.</w:t>
      </w:r>
      <w:r w:rsidR="002B5877">
        <w:rPr>
          <w:rStyle w:val="FootnoteReference"/>
          <w:rFonts w:ascii="Times New Roman" w:hAnsi="Times New Roman"/>
          <w:szCs w:val="24"/>
        </w:rPr>
        <w:footnoteReference w:id="4"/>
      </w:r>
      <w:r w:rsidR="002B5877">
        <w:rPr>
          <w:rFonts w:ascii="Times New Roman" w:hAnsi="Times New Roman"/>
          <w:szCs w:val="24"/>
        </w:rPr>
        <w:t xml:space="preserve">   Here, when the writing is clear, </w:t>
      </w:r>
      <w:r w:rsidR="002B5877" w:rsidRPr="00C16AB5">
        <w:rPr>
          <w:rFonts w:ascii="Times New Roman" w:hAnsi="Times New Roman"/>
          <w:szCs w:val="24"/>
        </w:rPr>
        <w:t xml:space="preserve">courts cannot choose to consider </w:t>
      </w:r>
      <w:r w:rsidR="002B5877">
        <w:rPr>
          <w:rFonts w:ascii="Times New Roman" w:hAnsi="Times New Roman"/>
          <w:szCs w:val="24"/>
        </w:rPr>
        <w:t>the context surrounding the contract.</w:t>
      </w:r>
      <w:r w:rsidR="009F6C2C">
        <w:rPr>
          <w:rStyle w:val="FootnoteReference"/>
          <w:rFonts w:ascii="Times New Roman" w:hAnsi="Times New Roman"/>
          <w:szCs w:val="24"/>
        </w:rPr>
        <w:footnoteReference w:id="5"/>
      </w:r>
      <w:r w:rsidR="002B5877" w:rsidRPr="00C16AB5">
        <w:rPr>
          <w:rFonts w:ascii="Times New Roman" w:hAnsi="Times New Roman"/>
          <w:szCs w:val="24"/>
        </w:rPr>
        <w:t xml:space="preserve"> </w:t>
      </w:r>
      <w:r w:rsidR="002B5877">
        <w:rPr>
          <w:rFonts w:ascii="Times New Roman" w:hAnsi="Times New Roman"/>
          <w:szCs w:val="24"/>
        </w:rPr>
        <w:t xml:space="preserve">  In contrast, </w:t>
      </w:r>
      <w:r w:rsidR="002B5877" w:rsidRPr="00C16AB5">
        <w:rPr>
          <w:rFonts w:ascii="Times New Roman" w:hAnsi="Times New Roman"/>
          <w:szCs w:val="24"/>
        </w:rPr>
        <w:t xml:space="preserve">in </w:t>
      </w:r>
      <w:r w:rsidR="002B5877">
        <w:rPr>
          <w:rFonts w:ascii="Times New Roman" w:hAnsi="Times New Roman"/>
          <w:szCs w:val="24"/>
        </w:rPr>
        <w:t xml:space="preserve">states that follow </w:t>
      </w:r>
      <w:r w:rsidR="002B5877">
        <w:rPr>
          <w:rFonts w:ascii="Times New Roman" w:hAnsi="Times New Roman"/>
          <w:szCs w:val="24"/>
        </w:rPr>
        <w:lastRenderedPageBreak/>
        <w:t>California,</w:t>
      </w:r>
      <w:r w:rsidR="00F011A1">
        <w:rPr>
          <w:rStyle w:val="FootnoteReference"/>
          <w:rFonts w:ascii="Times New Roman" w:hAnsi="Times New Roman"/>
          <w:szCs w:val="24"/>
        </w:rPr>
        <w:footnoteReference w:id="6"/>
      </w:r>
      <w:r w:rsidR="002B5877">
        <w:rPr>
          <w:rFonts w:ascii="Times New Roman" w:hAnsi="Times New Roman"/>
          <w:szCs w:val="24"/>
        </w:rPr>
        <w:t xml:space="preserve"> and in all states where the subject matter involves the sale of goods under the UCC, the </w:t>
      </w:r>
      <w:r w:rsidR="002B5877" w:rsidRPr="00C16AB5">
        <w:rPr>
          <w:rFonts w:ascii="Times New Roman" w:hAnsi="Times New Roman"/>
          <w:szCs w:val="24"/>
        </w:rPr>
        <w:t xml:space="preserve">courts </w:t>
      </w:r>
      <w:r w:rsidR="002B5877">
        <w:rPr>
          <w:rFonts w:ascii="Times New Roman" w:hAnsi="Times New Roman"/>
          <w:szCs w:val="24"/>
        </w:rPr>
        <w:t>are “</w:t>
      </w:r>
      <w:proofErr w:type="spellStart"/>
      <w:r w:rsidR="002B5877">
        <w:rPr>
          <w:rFonts w:ascii="Times New Roman" w:hAnsi="Times New Roman"/>
          <w:szCs w:val="24"/>
        </w:rPr>
        <w:t>contextualist</w:t>
      </w:r>
      <w:proofErr w:type="spellEnd"/>
      <w:r w:rsidR="002B5877">
        <w:rPr>
          <w:rFonts w:ascii="Times New Roman" w:hAnsi="Times New Roman"/>
          <w:szCs w:val="24"/>
        </w:rPr>
        <w:t>.”</w:t>
      </w:r>
      <w:r w:rsidR="00F011A1">
        <w:rPr>
          <w:rStyle w:val="FootnoteReference"/>
          <w:rFonts w:ascii="Times New Roman" w:hAnsi="Times New Roman"/>
          <w:szCs w:val="24"/>
        </w:rPr>
        <w:footnoteReference w:id="7"/>
      </w:r>
      <w:r w:rsidR="002B5877">
        <w:rPr>
          <w:rFonts w:ascii="Times New Roman" w:hAnsi="Times New Roman"/>
          <w:szCs w:val="24"/>
        </w:rPr>
        <w:t xml:space="preserve">  Here, courts </w:t>
      </w:r>
      <w:r w:rsidR="002B5877" w:rsidRPr="00C16AB5">
        <w:rPr>
          <w:rFonts w:ascii="Times New Roman" w:hAnsi="Times New Roman"/>
          <w:szCs w:val="24"/>
        </w:rPr>
        <w:t>must conside</w:t>
      </w:r>
      <w:r w:rsidR="002B5877">
        <w:rPr>
          <w:rFonts w:ascii="Times New Roman" w:hAnsi="Times New Roman"/>
          <w:szCs w:val="24"/>
        </w:rPr>
        <w:t>r the context regardless of the clarity of the written contract.</w:t>
      </w:r>
      <w:r w:rsidR="004F39E5">
        <w:rPr>
          <w:rStyle w:val="FootnoteReference"/>
          <w:rFonts w:ascii="Times New Roman" w:hAnsi="Times New Roman"/>
          <w:szCs w:val="24"/>
        </w:rPr>
        <w:footnoteReference w:id="8"/>
      </w:r>
      <w:r w:rsidR="002B5877">
        <w:rPr>
          <w:rFonts w:ascii="Times New Roman" w:hAnsi="Times New Roman"/>
          <w:szCs w:val="24"/>
        </w:rPr>
        <w:t xml:space="preserve">  Thus, the battle is joined: text versus context.</w:t>
      </w:r>
      <w:r w:rsidR="00F8385E">
        <w:rPr>
          <w:rStyle w:val="FootnoteReference"/>
          <w:rFonts w:ascii="Times New Roman" w:hAnsi="Times New Roman"/>
          <w:szCs w:val="24"/>
        </w:rPr>
        <w:footnoteReference w:id="9"/>
      </w:r>
    </w:p>
    <w:p w14:paraId="29FD5BAC" w14:textId="5E71F13D" w:rsidR="0034354B" w:rsidRDefault="002B5877" w:rsidP="003B3C6F">
      <w:pPr>
        <w:pStyle w:val="Document"/>
        <w:spacing w:line="360" w:lineRule="auto"/>
        <w:rPr>
          <w:rFonts w:ascii="Times New Roman" w:hAnsi="Times New Roman"/>
          <w:sz w:val="24"/>
          <w:szCs w:val="24"/>
        </w:rPr>
      </w:pPr>
      <w:r w:rsidRPr="00A23567">
        <w:rPr>
          <w:rFonts w:ascii="Times New Roman" w:hAnsi="Times New Roman"/>
          <w:sz w:val="24"/>
          <w:szCs w:val="24"/>
        </w:rPr>
        <w:lastRenderedPageBreak/>
        <w:t xml:space="preserve">This battle over contract interpretation—which is better text or context?—illustrates the deep chasm that separates scholarly debates over contract doctrine from the real </w:t>
      </w:r>
      <w:r w:rsidR="00A23567">
        <w:rPr>
          <w:rFonts w:ascii="Times New Roman" w:hAnsi="Times New Roman"/>
          <w:sz w:val="24"/>
          <w:szCs w:val="24"/>
        </w:rPr>
        <w:t>world of contract design.  C</w:t>
      </w:r>
      <w:r w:rsidRPr="00A23567">
        <w:rPr>
          <w:rFonts w:ascii="Times New Roman" w:hAnsi="Times New Roman"/>
          <w:sz w:val="24"/>
          <w:szCs w:val="24"/>
        </w:rPr>
        <w:t xml:space="preserve">ontract doctrine purports to address a single question: what should courts do? Should a court adopt a hard or a soft </w:t>
      </w:r>
      <w:proofErr w:type="spellStart"/>
      <w:r w:rsidRPr="00A23567">
        <w:rPr>
          <w:rFonts w:ascii="Times New Roman" w:hAnsi="Times New Roman"/>
          <w:sz w:val="24"/>
          <w:szCs w:val="24"/>
        </w:rPr>
        <w:t>parol</w:t>
      </w:r>
      <w:proofErr w:type="spellEnd"/>
      <w:r w:rsidRPr="00A23567">
        <w:rPr>
          <w:rFonts w:ascii="Times New Roman" w:hAnsi="Times New Roman"/>
          <w:sz w:val="24"/>
          <w:szCs w:val="24"/>
        </w:rPr>
        <w:t xml:space="preserve"> evidence rule?  Does the common law plain meaning rule still apply? </w:t>
      </w:r>
      <w:proofErr w:type="gramStart"/>
      <w:r w:rsidRPr="00A23567">
        <w:rPr>
          <w:rFonts w:ascii="Times New Roman" w:hAnsi="Times New Roman"/>
          <w:sz w:val="24"/>
          <w:szCs w:val="24"/>
        </w:rPr>
        <w:t>Are</w:t>
      </w:r>
      <w:proofErr w:type="gramEnd"/>
      <w:r w:rsidRPr="00A23567">
        <w:rPr>
          <w:rFonts w:ascii="Times New Roman" w:hAnsi="Times New Roman"/>
          <w:sz w:val="24"/>
          <w:szCs w:val="24"/>
        </w:rPr>
        <w:t xml:space="preserve"> merger clauses conclusive evidence that the writi</w:t>
      </w:r>
      <w:r w:rsidRPr="003B3C6F">
        <w:rPr>
          <w:rFonts w:ascii="Times New Roman" w:hAnsi="Times New Roman"/>
          <w:sz w:val="24"/>
          <w:szCs w:val="24"/>
        </w:rPr>
        <w:t xml:space="preserve">ng is integrated?  But the design choices lawyers make for their commercial clients are motivated by quite different considerations.  Transactional lawyers who design contracts for sophisticated parties are much more concerned with managing the </w:t>
      </w:r>
      <w:r w:rsidRPr="003B3C6F">
        <w:rPr>
          <w:rFonts w:ascii="Times New Roman" w:hAnsi="Times New Roman"/>
          <w:i/>
          <w:sz w:val="24"/>
          <w:szCs w:val="24"/>
        </w:rPr>
        <w:t>role</w:t>
      </w:r>
      <w:r w:rsidRPr="003B3C6F">
        <w:rPr>
          <w:rFonts w:ascii="Times New Roman" w:hAnsi="Times New Roman"/>
          <w:sz w:val="24"/>
          <w:szCs w:val="24"/>
        </w:rPr>
        <w:t xml:space="preserve"> of a court in resolving contract disputes than in debates over styles of interpretation.  And</w:t>
      </w:r>
      <w:r w:rsidR="00A23567">
        <w:rPr>
          <w:rFonts w:ascii="Times New Roman" w:hAnsi="Times New Roman"/>
          <w:sz w:val="24"/>
          <w:szCs w:val="24"/>
        </w:rPr>
        <w:t>, as I will argue,</w:t>
      </w:r>
      <w:r w:rsidRPr="003B3C6F">
        <w:rPr>
          <w:rFonts w:ascii="Times New Roman" w:hAnsi="Times New Roman"/>
          <w:sz w:val="24"/>
          <w:szCs w:val="24"/>
        </w:rPr>
        <w:t xml:space="preserve"> designing a contract that successfully manages the court’s role is not an easy task. </w:t>
      </w:r>
    </w:p>
    <w:p w14:paraId="187668F2" w14:textId="77777777" w:rsidR="0034354B" w:rsidRDefault="0034354B" w:rsidP="003B3C6F">
      <w:pPr>
        <w:pStyle w:val="Document"/>
        <w:spacing w:line="360" w:lineRule="auto"/>
        <w:rPr>
          <w:rFonts w:ascii="Times New Roman" w:hAnsi="Times New Roman"/>
          <w:sz w:val="24"/>
          <w:szCs w:val="24"/>
        </w:rPr>
      </w:pPr>
    </w:p>
    <w:p w14:paraId="631A267F" w14:textId="3DEC8697" w:rsidR="002B5877" w:rsidRDefault="002B5877" w:rsidP="003B3C6F">
      <w:pPr>
        <w:pStyle w:val="Document"/>
        <w:spacing w:line="360" w:lineRule="auto"/>
        <w:rPr>
          <w:rFonts w:ascii="Times New Roman" w:hAnsi="Times New Roman"/>
          <w:sz w:val="24"/>
          <w:szCs w:val="24"/>
        </w:rPr>
      </w:pPr>
      <w:r w:rsidRPr="003B3C6F">
        <w:rPr>
          <w:rFonts w:ascii="Times New Roman" w:hAnsi="Times New Roman"/>
          <w:sz w:val="24"/>
          <w:szCs w:val="24"/>
        </w:rPr>
        <w:t xml:space="preserve"> </w:t>
      </w:r>
      <w:r w:rsidR="0034354B">
        <w:rPr>
          <w:rFonts w:ascii="Times New Roman" w:hAnsi="Times New Roman"/>
          <w:sz w:val="24"/>
          <w:szCs w:val="24"/>
        </w:rPr>
        <w:t>My</w:t>
      </w:r>
      <w:r w:rsidRPr="003B3C6F">
        <w:rPr>
          <w:rFonts w:ascii="Times New Roman" w:hAnsi="Times New Roman"/>
          <w:sz w:val="24"/>
          <w:szCs w:val="24"/>
        </w:rPr>
        <w:t xml:space="preserve"> goal in this</w:t>
      </w:r>
      <w:r w:rsidR="00A23567">
        <w:rPr>
          <w:rFonts w:ascii="Times New Roman" w:hAnsi="Times New Roman"/>
          <w:sz w:val="24"/>
          <w:szCs w:val="24"/>
        </w:rPr>
        <w:t xml:space="preserve"> Essay</w:t>
      </w:r>
      <w:r w:rsidRPr="003B3C6F">
        <w:rPr>
          <w:rFonts w:ascii="Times New Roman" w:hAnsi="Times New Roman"/>
          <w:sz w:val="24"/>
          <w:szCs w:val="24"/>
        </w:rPr>
        <w:t xml:space="preserve"> is to shift the focus of discussion from the potential generalization of (competing) </w:t>
      </w:r>
      <w:r w:rsidR="00A23567">
        <w:rPr>
          <w:rFonts w:ascii="Times New Roman" w:hAnsi="Times New Roman"/>
          <w:sz w:val="24"/>
          <w:szCs w:val="24"/>
        </w:rPr>
        <w:t>doctrinal</w:t>
      </w:r>
      <w:r w:rsidRPr="003B3C6F">
        <w:rPr>
          <w:rFonts w:ascii="Times New Roman" w:hAnsi="Times New Roman"/>
          <w:sz w:val="24"/>
          <w:szCs w:val="24"/>
        </w:rPr>
        <w:t xml:space="preserve"> prototypes to what </w:t>
      </w:r>
      <w:r w:rsidR="0034354B">
        <w:rPr>
          <w:rFonts w:ascii="Times New Roman" w:hAnsi="Times New Roman"/>
          <w:sz w:val="24"/>
          <w:szCs w:val="24"/>
        </w:rPr>
        <w:t xml:space="preserve">I </w:t>
      </w:r>
      <w:r w:rsidRPr="003B3C6F">
        <w:rPr>
          <w:rFonts w:ascii="Times New Roman" w:hAnsi="Times New Roman"/>
          <w:sz w:val="24"/>
          <w:szCs w:val="24"/>
        </w:rPr>
        <w:t xml:space="preserve">call the design space for contracting: various features in the </w:t>
      </w:r>
      <w:proofErr w:type="gramStart"/>
      <w:r w:rsidRPr="003B3C6F">
        <w:rPr>
          <w:rFonts w:ascii="Times New Roman" w:hAnsi="Times New Roman"/>
          <w:sz w:val="24"/>
          <w:szCs w:val="24"/>
        </w:rPr>
        <w:t>transactional setting</w:t>
      </w:r>
      <w:proofErr w:type="gramEnd"/>
      <w:r w:rsidRPr="003B3C6F">
        <w:rPr>
          <w:rFonts w:ascii="Times New Roman" w:hAnsi="Times New Roman"/>
          <w:sz w:val="24"/>
          <w:szCs w:val="24"/>
        </w:rPr>
        <w:t xml:space="preserve"> that dispose contracting parties to choose a particular regime and a complementary form of adjudication to govern their relation, rather than another.  More precisely, </w:t>
      </w:r>
      <w:r w:rsidR="0034354B">
        <w:rPr>
          <w:rFonts w:ascii="Times New Roman" w:hAnsi="Times New Roman"/>
          <w:sz w:val="24"/>
          <w:szCs w:val="24"/>
        </w:rPr>
        <w:t xml:space="preserve">I sketch </w:t>
      </w:r>
      <w:r w:rsidRPr="003B3C6F">
        <w:rPr>
          <w:rFonts w:ascii="Times New Roman" w:hAnsi="Times New Roman"/>
          <w:sz w:val="24"/>
          <w:szCs w:val="24"/>
        </w:rPr>
        <w:t xml:space="preserve">a typology of these relations </w:t>
      </w:r>
      <w:r w:rsidR="0034354B">
        <w:rPr>
          <w:rFonts w:ascii="Times New Roman" w:hAnsi="Times New Roman"/>
          <w:sz w:val="24"/>
          <w:szCs w:val="24"/>
        </w:rPr>
        <w:t>rich enough</w:t>
      </w:r>
      <w:r w:rsidRPr="003B3C6F">
        <w:rPr>
          <w:rFonts w:ascii="Times New Roman" w:hAnsi="Times New Roman"/>
          <w:sz w:val="24"/>
          <w:szCs w:val="24"/>
        </w:rPr>
        <w:t xml:space="preserve"> to capture the breadth of current contractual experience but sufficiently parsimonious to </w:t>
      </w:r>
      <w:r w:rsidR="0034354B">
        <w:rPr>
          <w:rFonts w:ascii="Times New Roman" w:hAnsi="Times New Roman"/>
          <w:sz w:val="24"/>
          <w:szCs w:val="24"/>
        </w:rPr>
        <w:t>highlight</w:t>
      </w:r>
      <w:r w:rsidRPr="003B3C6F">
        <w:rPr>
          <w:rFonts w:ascii="Times New Roman" w:hAnsi="Times New Roman"/>
          <w:sz w:val="24"/>
          <w:szCs w:val="24"/>
        </w:rPr>
        <w:t xml:space="preserve"> the central relationship between the factors that shape the design of any given contract and the role of courts in interpreting that design.</w:t>
      </w:r>
    </w:p>
    <w:p w14:paraId="723374A8" w14:textId="77777777" w:rsidR="0034354B" w:rsidRPr="003B3C6F" w:rsidRDefault="0034354B" w:rsidP="003B3C6F">
      <w:pPr>
        <w:pStyle w:val="Document"/>
        <w:spacing w:line="360" w:lineRule="auto"/>
        <w:rPr>
          <w:rFonts w:ascii="Times New Roman" w:hAnsi="Times New Roman"/>
          <w:sz w:val="24"/>
          <w:szCs w:val="24"/>
        </w:rPr>
      </w:pPr>
    </w:p>
    <w:p w14:paraId="7D43B85D" w14:textId="0383D626" w:rsidR="002B5877" w:rsidRPr="008B5638" w:rsidRDefault="008C53BC" w:rsidP="003B3C6F">
      <w:pPr>
        <w:pStyle w:val="Document"/>
        <w:spacing w:line="360" w:lineRule="auto"/>
        <w:rPr>
          <w:rFonts w:ascii="Times New Roman" w:hAnsi="Times New Roman"/>
          <w:sz w:val="16"/>
          <w:szCs w:val="16"/>
        </w:rPr>
      </w:pPr>
      <w:r>
        <w:rPr>
          <w:rFonts w:ascii="Times New Roman" w:hAnsi="Times New Roman"/>
          <w:sz w:val="24"/>
          <w:szCs w:val="24"/>
        </w:rPr>
        <w:t>The starting point of the</w:t>
      </w:r>
      <w:r w:rsidR="002B5877" w:rsidRPr="003B3C6F">
        <w:rPr>
          <w:rFonts w:ascii="Times New Roman" w:hAnsi="Times New Roman"/>
          <w:sz w:val="24"/>
          <w:szCs w:val="24"/>
        </w:rPr>
        <w:t xml:space="preserve"> analysis is the recognition that how contracting parties deal with interpretation issues in designing their contracts, and how courts optimally respond to the parties’ efforts, depends on two critical characteristics of the particular contracting environment.  The first is the level of uncertainty—whether commercial practices are stable and predictable, or </w:t>
      </w:r>
      <w:r w:rsidR="008B5638">
        <w:rPr>
          <w:rFonts w:ascii="Times New Roman" w:hAnsi="Times New Roman"/>
          <w:sz w:val="24"/>
          <w:szCs w:val="24"/>
        </w:rPr>
        <w:t xml:space="preserve">are </w:t>
      </w:r>
      <w:r w:rsidR="002B5877" w:rsidRPr="003B3C6F">
        <w:rPr>
          <w:rFonts w:ascii="Times New Roman" w:hAnsi="Times New Roman"/>
          <w:sz w:val="24"/>
          <w:szCs w:val="24"/>
        </w:rPr>
        <w:t>disrupted by unforeseeable changes in technical possibilities and market conditions.</w:t>
      </w:r>
      <w:r w:rsidR="004A3C3C">
        <w:rPr>
          <w:rStyle w:val="FootnoteReference"/>
          <w:rFonts w:ascii="Times New Roman" w:hAnsi="Times New Roman"/>
          <w:sz w:val="24"/>
          <w:szCs w:val="24"/>
        </w:rPr>
        <w:footnoteReference w:id="10"/>
      </w:r>
      <w:r w:rsidR="002B5877" w:rsidRPr="003B3C6F">
        <w:rPr>
          <w:rFonts w:ascii="Times New Roman" w:hAnsi="Times New Roman"/>
          <w:sz w:val="24"/>
          <w:szCs w:val="24"/>
        </w:rPr>
        <w:t xml:space="preserve">  The second is the scope, thickness, or scale of the market—</w:t>
      </w:r>
      <w:r w:rsidR="002B5877" w:rsidRPr="003B3C6F">
        <w:rPr>
          <w:rFonts w:ascii="Times New Roman" w:hAnsi="Times New Roman"/>
          <w:sz w:val="24"/>
          <w:szCs w:val="24"/>
        </w:rPr>
        <w:lastRenderedPageBreak/>
        <w:t>whether there are many traders or few engaged in a particular class of transaction using similar contracting strategies.</w:t>
      </w:r>
      <w:r w:rsidR="002B5877" w:rsidRPr="004F39E5">
        <w:rPr>
          <w:rStyle w:val="NoterefInText"/>
          <w:rFonts w:ascii="Times New Roman" w:hAnsi="Times New Roman"/>
          <w:sz w:val="16"/>
          <w:szCs w:val="16"/>
        </w:rPr>
        <w:footnoteReference w:id="11"/>
      </w:r>
      <w:r w:rsidR="002B5877" w:rsidRPr="003B3C6F">
        <w:rPr>
          <w:rFonts w:ascii="Times New Roman" w:hAnsi="Times New Roman"/>
          <w:sz w:val="24"/>
          <w:szCs w:val="24"/>
        </w:rPr>
        <w:t xml:space="preserve">  All else equal, the higher the level of uncertainty, the more difficult it is for parties to write and courts to interpret complete, state-contingent contracts.    All else equal, the greater the number of traders engaged in a transaction, the more likely that the interpretive regime—terms adapted to current need and a mechanism for adjusting terms as needs change—will be provided by a collective entity, such as a trade association, that can provide to a court the necessary context for interpretation</w:t>
      </w:r>
      <w:r w:rsidR="008B5638">
        <w:rPr>
          <w:rFonts w:ascii="Times New Roman" w:hAnsi="Times New Roman"/>
          <w:sz w:val="24"/>
          <w:szCs w:val="24"/>
        </w:rPr>
        <w:t>.</w:t>
      </w:r>
      <w:bookmarkStart w:id="1" w:name="_Ref253582691"/>
      <w:r w:rsidR="002B5877" w:rsidRPr="008B5638">
        <w:rPr>
          <w:rStyle w:val="NoterefInText"/>
          <w:rFonts w:ascii="Times New Roman" w:hAnsi="Times New Roman"/>
          <w:sz w:val="16"/>
          <w:szCs w:val="16"/>
        </w:rPr>
        <w:footnoteReference w:id="12"/>
      </w:r>
      <w:bookmarkEnd w:id="1"/>
    </w:p>
    <w:p w14:paraId="3204500A" w14:textId="77777777" w:rsidR="008B5638" w:rsidRDefault="008B5638" w:rsidP="003B3C6F">
      <w:pPr>
        <w:spacing w:line="360" w:lineRule="auto"/>
        <w:ind w:firstLine="720"/>
        <w:rPr>
          <w:rFonts w:ascii="Times New Roman" w:hAnsi="Times New Roman" w:cs="Times New Roman"/>
        </w:rPr>
      </w:pPr>
    </w:p>
    <w:p w14:paraId="75926DDA" w14:textId="09F5C452" w:rsidR="00644D32" w:rsidRDefault="00F37398" w:rsidP="003B3C6F">
      <w:pPr>
        <w:spacing w:line="360" w:lineRule="auto"/>
        <w:ind w:firstLine="720"/>
        <w:rPr>
          <w:rFonts w:ascii="Times New Roman" w:hAnsi="Times New Roman" w:cs="Times New Roman"/>
        </w:rPr>
      </w:pPr>
      <w:r w:rsidRPr="0017404D">
        <w:rPr>
          <w:rFonts w:ascii="Times New Roman" w:hAnsi="Times New Roman" w:cs="Times New Roman"/>
        </w:rPr>
        <w:t>Across the four principal regions of space defined by these two dimensions—low and high levels both of scale and uncertainty—</w:t>
      </w:r>
      <w:r>
        <w:rPr>
          <w:rFonts w:ascii="Times New Roman" w:hAnsi="Times New Roman" w:cs="Times New Roman"/>
        </w:rPr>
        <w:t xml:space="preserve"> we observe parties </w:t>
      </w:r>
      <w:r w:rsidR="009511CB">
        <w:rPr>
          <w:rFonts w:ascii="Times New Roman" w:hAnsi="Times New Roman" w:cs="Times New Roman"/>
        </w:rPr>
        <w:t xml:space="preserve">writing contracts </w:t>
      </w:r>
      <w:r w:rsidR="00613E10">
        <w:rPr>
          <w:rFonts w:ascii="Times New Roman" w:hAnsi="Times New Roman" w:cs="Times New Roman"/>
        </w:rPr>
        <w:t>with</w:t>
      </w:r>
      <w:r w:rsidR="009511CB">
        <w:rPr>
          <w:rFonts w:ascii="Times New Roman" w:hAnsi="Times New Roman" w:cs="Times New Roman"/>
        </w:rPr>
        <w:t xml:space="preserve"> </w:t>
      </w:r>
      <w:r>
        <w:rPr>
          <w:rFonts w:ascii="Times New Roman" w:hAnsi="Times New Roman" w:cs="Times New Roman"/>
        </w:rPr>
        <w:t>ver</w:t>
      </w:r>
      <w:r w:rsidR="00644D32">
        <w:rPr>
          <w:rFonts w:ascii="Times New Roman" w:hAnsi="Times New Roman" w:cs="Times New Roman"/>
        </w:rPr>
        <w:t xml:space="preserve">y different </w:t>
      </w:r>
      <w:r w:rsidR="009511CB">
        <w:rPr>
          <w:rFonts w:ascii="Times New Roman" w:hAnsi="Times New Roman" w:cs="Times New Roman"/>
        </w:rPr>
        <w:t xml:space="preserve">styles and </w:t>
      </w:r>
      <w:r w:rsidR="00644D32">
        <w:rPr>
          <w:rFonts w:ascii="Times New Roman" w:hAnsi="Times New Roman" w:cs="Times New Roman"/>
        </w:rPr>
        <w:t>forms</w:t>
      </w:r>
      <w:r w:rsidR="006B6D5E">
        <w:rPr>
          <w:rFonts w:ascii="Times New Roman" w:hAnsi="Times New Roman" w:cs="Times New Roman"/>
        </w:rPr>
        <w:t>.</w:t>
      </w:r>
      <w:r>
        <w:rPr>
          <w:rFonts w:ascii="Times New Roman" w:hAnsi="Times New Roman" w:cs="Times New Roman"/>
        </w:rPr>
        <w:t xml:space="preserve">  The question, then, is what mot</w:t>
      </w:r>
      <w:r w:rsidR="00F97EE0">
        <w:rPr>
          <w:rFonts w:ascii="Times New Roman" w:hAnsi="Times New Roman" w:cs="Times New Roman"/>
        </w:rPr>
        <w:t>ivates these observable and predictable differences in contract design?  In the discussion that follows, I argue that a central factor motivating s</w:t>
      </w:r>
      <w:r w:rsidR="00DE4CEC">
        <w:rPr>
          <w:rFonts w:ascii="Times New Roman" w:hAnsi="Times New Roman" w:cs="Times New Roman"/>
        </w:rPr>
        <w:t>ophisticated parties in each of</w:t>
      </w:r>
      <w:r w:rsidR="00F97EE0">
        <w:rPr>
          <w:rFonts w:ascii="Times New Roman" w:hAnsi="Times New Roman" w:cs="Times New Roman"/>
        </w:rPr>
        <w:t xml:space="preserve"> these environments is to reduce the</w:t>
      </w:r>
      <w:r w:rsidR="00906D53">
        <w:rPr>
          <w:rFonts w:ascii="Times New Roman" w:hAnsi="Times New Roman" w:cs="Times New Roman"/>
        </w:rPr>
        <w:t xml:space="preserve"> anticipated</w:t>
      </w:r>
      <w:r w:rsidR="00F97EE0">
        <w:rPr>
          <w:rFonts w:ascii="Times New Roman" w:hAnsi="Times New Roman" w:cs="Times New Roman"/>
        </w:rPr>
        <w:t xml:space="preserve"> opportunism costs that are inherent in ex post adjudication of breach of contract claims.  The task is difficult because</w:t>
      </w:r>
      <w:r w:rsidR="00DE4CEC">
        <w:rPr>
          <w:rFonts w:ascii="Times New Roman" w:hAnsi="Times New Roman" w:cs="Times New Roman"/>
        </w:rPr>
        <w:t xml:space="preserve"> exogenous factors will determine which party is likely to behave opportunistically, and any effort </w:t>
      </w:r>
      <w:r w:rsidR="00613E10">
        <w:rPr>
          <w:rFonts w:ascii="Times New Roman" w:hAnsi="Times New Roman" w:cs="Times New Roman"/>
        </w:rPr>
        <w:t xml:space="preserve">to </w:t>
      </w:r>
      <w:r w:rsidR="00DE4CEC">
        <w:rPr>
          <w:rFonts w:ascii="Times New Roman" w:hAnsi="Times New Roman" w:cs="Times New Roman"/>
        </w:rPr>
        <w:t xml:space="preserve">design the contract to preclude one party from asserting an opportunistic claim inevitably increases the risk of strategic behavior by the counterparty. </w:t>
      </w:r>
      <w:r w:rsidR="0072705E">
        <w:rPr>
          <w:rFonts w:ascii="Times New Roman" w:hAnsi="Times New Roman" w:cs="Times New Roman"/>
        </w:rPr>
        <w:t xml:space="preserve"> The design challenge is compounded by the fact </w:t>
      </w:r>
      <w:r w:rsidR="0072705E">
        <w:rPr>
          <w:rFonts w:ascii="Times New Roman" w:hAnsi="Times New Roman" w:cs="Times New Roman"/>
        </w:rPr>
        <w:lastRenderedPageBreak/>
        <w:t xml:space="preserve">that </w:t>
      </w:r>
      <w:r w:rsidR="00644D32">
        <w:rPr>
          <w:rFonts w:ascii="Times New Roman" w:hAnsi="Times New Roman" w:cs="Times New Roman"/>
        </w:rPr>
        <w:t xml:space="preserve">opportunistic behavior in whatever form and by whatever party </w:t>
      </w:r>
      <w:r w:rsidR="0072705E">
        <w:rPr>
          <w:rFonts w:ascii="Times New Roman" w:hAnsi="Times New Roman" w:cs="Times New Roman"/>
        </w:rPr>
        <w:t>is very difficult to discover during the litigation process.  Hence, the</w:t>
      </w:r>
      <w:r w:rsidR="00644D32">
        <w:rPr>
          <w:rFonts w:ascii="Times New Roman" w:hAnsi="Times New Roman" w:cs="Times New Roman"/>
        </w:rPr>
        <w:t xml:space="preserve"> ultimate</w:t>
      </w:r>
      <w:r w:rsidR="0072705E">
        <w:rPr>
          <w:rFonts w:ascii="Times New Roman" w:hAnsi="Times New Roman" w:cs="Times New Roman"/>
        </w:rPr>
        <w:t xml:space="preserve"> </w:t>
      </w:r>
      <w:r w:rsidR="00644D32">
        <w:rPr>
          <w:rFonts w:ascii="Times New Roman" w:hAnsi="Times New Roman" w:cs="Times New Roman"/>
        </w:rPr>
        <w:t xml:space="preserve">design </w:t>
      </w:r>
      <w:r w:rsidR="0072705E">
        <w:rPr>
          <w:rFonts w:ascii="Times New Roman" w:hAnsi="Times New Roman" w:cs="Times New Roman"/>
        </w:rPr>
        <w:t>goal is to</w:t>
      </w:r>
      <w:r w:rsidR="00644D32">
        <w:rPr>
          <w:rFonts w:ascii="Times New Roman" w:hAnsi="Times New Roman" w:cs="Times New Roman"/>
        </w:rPr>
        <w:t xml:space="preserve"> avoid handing </w:t>
      </w:r>
      <w:r w:rsidR="0072705E">
        <w:rPr>
          <w:rFonts w:ascii="Times New Roman" w:hAnsi="Times New Roman" w:cs="Times New Roman"/>
        </w:rPr>
        <w:t>a generalist court an interpretive ta</w:t>
      </w:r>
      <w:r w:rsidR="00644D32">
        <w:rPr>
          <w:rFonts w:ascii="Times New Roman" w:hAnsi="Times New Roman" w:cs="Times New Roman"/>
        </w:rPr>
        <w:t>sk</w:t>
      </w:r>
      <w:r w:rsidR="0072705E">
        <w:rPr>
          <w:rFonts w:ascii="Times New Roman" w:hAnsi="Times New Roman" w:cs="Times New Roman"/>
        </w:rPr>
        <w:t xml:space="preserve"> that the court is unlik</w:t>
      </w:r>
      <w:r w:rsidR="00644D32">
        <w:rPr>
          <w:rFonts w:ascii="Times New Roman" w:hAnsi="Times New Roman" w:cs="Times New Roman"/>
        </w:rPr>
        <w:t>ely to</w:t>
      </w:r>
      <w:r w:rsidR="00613E10">
        <w:rPr>
          <w:rFonts w:ascii="Times New Roman" w:hAnsi="Times New Roman" w:cs="Times New Roman"/>
        </w:rPr>
        <w:t xml:space="preserve"> be able to</w:t>
      </w:r>
      <w:r w:rsidR="00644D32">
        <w:rPr>
          <w:rFonts w:ascii="Times New Roman" w:hAnsi="Times New Roman" w:cs="Times New Roman"/>
        </w:rPr>
        <w:t xml:space="preserve"> perform successfully.</w:t>
      </w:r>
    </w:p>
    <w:p w14:paraId="4F2FB2C2" w14:textId="0D8D4D18" w:rsidR="00F37398" w:rsidRDefault="0072705E" w:rsidP="003B3C6F">
      <w:pPr>
        <w:spacing w:line="360" w:lineRule="auto"/>
        <w:ind w:firstLine="720"/>
        <w:rPr>
          <w:rFonts w:ascii="Times New Roman" w:hAnsi="Times New Roman" w:cs="Times New Roman"/>
        </w:rPr>
      </w:pPr>
      <w:r>
        <w:rPr>
          <w:rFonts w:ascii="Times New Roman" w:hAnsi="Times New Roman" w:cs="Times New Roman"/>
        </w:rPr>
        <w:t xml:space="preserve"> </w:t>
      </w:r>
    </w:p>
    <w:p w14:paraId="56EBA293" w14:textId="2C9F7B5C" w:rsidR="00CC7772" w:rsidRDefault="008B5638" w:rsidP="003B3C6F">
      <w:pPr>
        <w:spacing w:line="360" w:lineRule="auto"/>
        <w:ind w:firstLine="720"/>
        <w:rPr>
          <w:rFonts w:ascii="Times New Roman" w:hAnsi="Times New Roman" w:cs="Times New Roman"/>
        </w:rPr>
      </w:pPr>
      <w:r>
        <w:rPr>
          <w:rFonts w:ascii="Times New Roman" w:hAnsi="Times New Roman" w:cs="Times New Roman"/>
        </w:rPr>
        <w:t xml:space="preserve">The Essay </w:t>
      </w:r>
      <w:r w:rsidR="00CC7772">
        <w:rPr>
          <w:rFonts w:ascii="Times New Roman" w:hAnsi="Times New Roman" w:cs="Times New Roman"/>
        </w:rPr>
        <w:t xml:space="preserve">proceeds as follows.  In Part I, I </w:t>
      </w:r>
      <w:r>
        <w:rPr>
          <w:rFonts w:ascii="Times New Roman" w:hAnsi="Times New Roman" w:cs="Times New Roman"/>
        </w:rPr>
        <w:t xml:space="preserve">focus on a neglected area of legal scholarship:  </w:t>
      </w:r>
      <w:r w:rsidR="00CC7772">
        <w:rPr>
          <w:rFonts w:ascii="Times New Roman" w:hAnsi="Times New Roman" w:cs="Times New Roman"/>
        </w:rPr>
        <w:t xml:space="preserve">what explains </w:t>
      </w:r>
      <w:r>
        <w:rPr>
          <w:rFonts w:ascii="Times New Roman" w:hAnsi="Times New Roman" w:cs="Times New Roman"/>
        </w:rPr>
        <w:t xml:space="preserve">why parties breach their contracts?  Here I develop a </w:t>
      </w:r>
      <w:r w:rsidR="008A1BB9">
        <w:rPr>
          <w:rFonts w:ascii="Times New Roman" w:hAnsi="Times New Roman" w:cs="Times New Roman"/>
        </w:rPr>
        <w:t xml:space="preserve">novel variation on </w:t>
      </w:r>
      <w:r w:rsidR="00CC7772">
        <w:rPr>
          <w:rFonts w:ascii="Times New Roman" w:hAnsi="Times New Roman" w:cs="Times New Roman"/>
        </w:rPr>
        <w:t xml:space="preserve">opportunism </w:t>
      </w:r>
      <w:r w:rsidR="008A1BB9">
        <w:rPr>
          <w:rFonts w:ascii="Times New Roman" w:hAnsi="Times New Roman" w:cs="Times New Roman"/>
        </w:rPr>
        <w:t>that I identify as “</w:t>
      </w:r>
      <w:r w:rsidR="00421767">
        <w:rPr>
          <w:rFonts w:ascii="Times New Roman" w:hAnsi="Times New Roman" w:cs="Times New Roman"/>
        </w:rPr>
        <w:t>shading;” a</w:t>
      </w:r>
      <w:r w:rsidR="008A1BB9">
        <w:rPr>
          <w:rFonts w:ascii="Times New Roman" w:hAnsi="Times New Roman" w:cs="Times New Roman"/>
        </w:rPr>
        <w:t xml:space="preserve"> behavior that more accurately describe</w:t>
      </w:r>
      <w:r w:rsidR="007A40B9">
        <w:rPr>
          <w:rFonts w:ascii="Times New Roman" w:hAnsi="Times New Roman" w:cs="Times New Roman"/>
        </w:rPr>
        <w:t>s</w:t>
      </w:r>
      <w:r w:rsidR="008A1BB9">
        <w:rPr>
          <w:rFonts w:ascii="Times New Roman" w:hAnsi="Times New Roman" w:cs="Times New Roman"/>
        </w:rPr>
        <w:t xml:space="preserve"> the vexing problems courts face in rooting out strategic behavior in contract litigation.   Part II </w:t>
      </w:r>
      <w:r w:rsidR="00FA71C3">
        <w:rPr>
          <w:rFonts w:ascii="Times New Roman" w:hAnsi="Times New Roman" w:cs="Times New Roman"/>
        </w:rPr>
        <w:t>provide</w:t>
      </w:r>
      <w:r w:rsidR="00CC7772">
        <w:rPr>
          <w:rFonts w:ascii="Times New Roman" w:hAnsi="Times New Roman" w:cs="Times New Roman"/>
        </w:rPr>
        <w:t>s</w:t>
      </w:r>
      <w:r w:rsidR="00FA71C3">
        <w:rPr>
          <w:rFonts w:ascii="Times New Roman" w:hAnsi="Times New Roman" w:cs="Times New Roman"/>
        </w:rPr>
        <w:t xml:space="preserve"> some emp</w:t>
      </w:r>
      <w:r w:rsidR="00CC7772">
        <w:rPr>
          <w:rFonts w:ascii="Times New Roman" w:hAnsi="Times New Roman" w:cs="Times New Roman"/>
        </w:rPr>
        <w:t>i</w:t>
      </w:r>
      <w:r w:rsidR="00FA71C3">
        <w:rPr>
          <w:rFonts w:ascii="Times New Roman" w:hAnsi="Times New Roman" w:cs="Times New Roman"/>
        </w:rPr>
        <w:t>rical support for the claim that shading behavior is pervasive in litigation over contract br</w:t>
      </w:r>
      <w:r w:rsidR="00CC7772">
        <w:rPr>
          <w:rFonts w:ascii="Times New Roman" w:hAnsi="Times New Roman" w:cs="Times New Roman"/>
        </w:rPr>
        <w:t>e</w:t>
      </w:r>
      <w:r w:rsidR="00FA71C3">
        <w:rPr>
          <w:rFonts w:ascii="Times New Roman" w:hAnsi="Times New Roman" w:cs="Times New Roman"/>
        </w:rPr>
        <w:t>ach and offer</w:t>
      </w:r>
      <w:r w:rsidR="00CC7772">
        <w:rPr>
          <w:rFonts w:ascii="Times New Roman" w:hAnsi="Times New Roman" w:cs="Times New Roman"/>
        </w:rPr>
        <w:t>s</w:t>
      </w:r>
      <w:r w:rsidR="00FA71C3">
        <w:rPr>
          <w:rFonts w:ascii="Times New Roman" w:hAnsi="Times New Roman" w:cs="Times New Roman"/>
        </w:rPr>
        <w:t xml:space="preserve"> an explanation for why that is so.  Part III </w:t>
      </w:r>
      <w:r w:rsidR="00CC7772" w:rsidRPr="00CB789B">
        <w:rPr>
          <w:rFonts w:ascii="Times New Roman" w:hAnsi="Times New Roman"/>
        </w:rPr>
        <w:t>addresses history, to show that in pre-industrial England generalist courts</w:t>
      </w:r>
      <w:r w:rsidR="00CC7772">
        <w:rPr>
          <w:rFonts w:ascii="Times New Roman" w:hAnsi="Times New Roman"/>
        </w:rPr>
        <w:t>, in contrast to today,</w:t>
      </w:r>
      <w:r w:rsidR="00CC7772" w:rsidRPr="00CB789B">
        <w:rPr>
          <w:rFonts w:ascii="Times New Roman" w:hAnsi="Times New Roman"/>
        </w:rPr>
        <w:t xml:space="preserve"> were capable of </w:t>
      </w:r>
      <w:r w:rsidR="00FA71C3">
        <w:rPr>
          <w:rFonts w:ascii="Times New Roman" w:hAnsi="Times New Roman" w:cs="Times New Roman"/>
        </w:rPr>
        <w:t>polic</w:t>
      </w:r>
      <w:r w:rsidR="00CC7772">
        <w:rPr>
          <w:rFonts w:ascii="Times New Roman" w:hAnsi="Times New Roman" w:cs="Times New Roman"/>
        </w:rPr>
        <w:t>ing</w:t>
      </w:r>
      <w:r w:rsidR="00FA71C3">
        <w:rPr>
          <w:rFonts w:ascii="Times New Roman" w:hAnsi="Times New Roman" w:cs="Times New Roman"/>
        </w:rPr>
        <w:t xml:space="preserve"> shading behavior</w:t>
      </w:r>
      <w:r w:rsidR="00CC7772">
        <w:rPr>
          <w:rFonts w:ascii="Times New Roman" w:hAnsi="Times New Roman" w:cs="Times New Roman"/>
        </w:rPr>
        <w:t>.</w:t>
      </w:r>
      <w:r w:rsidR="00FA71C3">
        <w:rPr>
          <w:rFonts w:ascii="Times New Roman" w:hAnsi="Times New Roman" w:cs="Times New Roman"/>
        </w:rPr>
        <w:t xml:space="preserve"> The merger of law and equity together with the growing heterogeneity of </w:t>
      </w:r>
      <w:r w:rsidR="00CC7772">
        <w:rPr>
          <w:rFonts w:ascii="Times New Roman" w:hAnsi="Times New Roman" w:cs="Times New Roman"/>
        </w:rPr>
        <w:t xml:space="preserve">the </w:t>
      </w:r>
      <w:r w:rsidR="00FA71C3">
        <w:rPr>
          <w:rFonts w:ascii="Times New Roman" w:hAnsi="Times New Roman" w:cs="Times New Roman"/>
        </w:rPr>
        <w:t xml:space="preserve">modern </w:t>
      </w:r>
      <w:r w:rsidR="00CC7772">
        <w:rPr>
          <w:rFonts w:ascii="Times New Roman" w:hAnsi="Times New Roman" w:cs="Times New Roman"/>
        </w:rPr>
        <w:t xml:space="preserve">global </w:t>
      </w:r>
      <w:r w:rsidR="00FA71C3">
        <w:rPr>
          <w:rFonts w:ascii="Times New Roman" w:hAnsi="Times New Roman" w:cs="Times New Roman"/>
        </w:rPr>
        <w:t>economy has left generalist courts incapable of accurately identifying which party among the litiga</w:t>
      </w:r>
      <w:r w:rsidR="00CC7772">
        <w:rPr>
          <w:rFonts w:ascii="Times New Roman" w:hAnsi="Times New Roman" w:cs="Times New Roman"/>
        </w:rPr>
        <w:t>nts</w:t>
      </w:r>
      <w:r w:rsidR="00FA71C3">
        <w:rPr>
          <w:rFonts w:ascii="Times New Roman" w:hAnsi="Times New Roman" w:cs="Times New Roman"/>
        </w:rPr>
        <w:t xml:space="preserve"> is behaving strategically. </w:t>
      </w:r>
    </w:p>
    <w:p w14:paraId="37AA2C5C" w14:textId="77777777" w:rsidR="00CC7772" w:rsidRDefault="00CC7772" w:rsidP="003B3C6F">
      <w:pPr>
        <w:spacing w:line="360" w:lineRule="auto"/>
        <w:ind w:firstLine="720"/>
        <w:rPr>
          <w:rFonts w:ascii="Times New Roman" w:hAnsi="Times New Roman" w:cs="Times New Roman"/>
        </w:rPr>
      </w:pPr>
    </w:p>
    <w:p w14:paraId="5B2D7B70" w14:textId="60E45587" w:rsidR="00716452" w:rsidRDefault="00FA71C3" w:rsidP="003B3C6F">
      <w:pPr>
        <w:spacing w:line="360" w:lineRule="auto"/>
        <w:ind w:firstLine="720"/>
        <w:rPr>
          <w:rFonts w:ascii="Times New Roman" w:hAnsi="Times New Roman" w:cs="Times New Roman"/>
        </w:rPr>
      </w:pPr>
      <w:r>
        <w:rPr>
          <w:rFonts w:ascii="Times New Roman" w:hAnsi="Times New Roman" w:cs="Times New Roman"/>
        </w:rPr>
        <w:t xml:space="preserve"> </w:t>
      </w:r>
      <w:r w:rsidR="00CC7772">
        <w:rPr>
          <w:rFonts w:ascii="Times New Roman" w:hAnsi="Times New Roman" w:cs="Times New Roman"/>
        </w:rPr>
        <w:t xml:space="preserve">Finally, in Part IV I </w:t>
      </w:r>
      <w:r w:rsidR="00CC7772" w:rsidRPr="00D12A5A">
        <w:rPr>
          <w:rFonts w:ascii="Times New Roman" w:hAnsi="Times New Roman"/>
        </w:rPr>
        <w:t>focus on the critical roles of uncertainty and scale</w:t>
      </w:r>
      <w:r w:rsidR="00613E10">
        <w:rPr>
          <w:rFonts w:ascii="Times New Roman" w:hAnsi="Times New Roman"/>
        </w:rPr>
        <w:t xml:space="preserve"> in determining</w:t>
      </w:r>
      <w:r w:rsidR="00CC7772" w:rsidRPr="00D12A5A">
        <w:rPr>
          <w:rFonts w:ascii="Times New Roman" w:hAnsi="Times New Roman"/>
        </w:rPr>
        <w:t xml:space="preserve"> how </w:t>
      </w:r>
      <w:r w:rsidR="00CC7772">
        <w:rPr>
          <w:rFonts w:ascii="Times New Roman" w:hAnsi="Times New Roman"/>
        </w:rPr>
        <w:t xml:space="preserve">legally </w:t>
      </w:r>
      <w:r w:rsidR="00CC7772" w:rsidRPr="00D12A5A">
        <w:rPr>
          <w:rFonts w:ascii="Times New Roman" w:hAnsi="Times New Roman"/>
        </w:rPr>
        <w:t>sophisticated parties</w:t>
      </w:r>
      <w:r w:rsidR="00CC7772">
        <w:rPr>
          <w:rFonts w:ascii="Times New Roman" w:hAnsi="Times New Roman"/>
        </w:rPr>
        <w:t>, both individually and collectively, design their contracts</w:t>
      </w:r>
      <w:r w:rsidR="006038E6">
        <w:rPr>
          <w:rFonts w:ascii="Times New Roman" w:hAnsi="Times New Roman"/>
        </w:rPr>
        <w:t xml:space="preserve">. </w:t>
      </w:r>
      <w:r w:rsidR="00613E10">
        <w:rPr>
          <w:rFonts w:ascii="Times New Roman" w:hAnsi="Times New Roman"/>
        </w:rPr>
        <w:t xml:space="preserve"> </w:t>
      </w:r>
      <w:r w:rsidR="00CC7772">
        <w:rPr>
          <w:rFonts w:ascii="Times New Roman" w:hAnsi="Times New Roman"/>
        </w:rPr>
        <w:t>Here I advance the claim</w:t>
      </w:r>
      <w:r w:rsidR="00CC7772" w:rsidRPr="00D12A5A">
        <w:rPr>
          <w:rFonts w:ascii="Times New Roman" w:hAnsi="Times New Roman"/>
        </w:rPr>
        <w:t xml:space="preserve"> that </w:t>
      </w:r>
      <w:r w:rsidR="00CC7772">
        <w:rPr>
          <w:rFonts w:ascii="Times New Roman" w:hAnsi="Times New Roman"/>
        </w:rPr>
        <w:t xml:space="preserve">these </w:t>
      </w:r>
      <w:r w:rsidR="00CC7772" w:rsidRPr="00D12A5A">
        <w:rPr>
          <w:rFonts w:ascii="Times New Roman" w:hAnsi="Times New Roman"/>
        </w:rPr>
        <w:t xml:space="preserve">commercial parties </w:t>
      </w:r>
      <w:r w:rsidR="00906D53">
        <w:rPr>
          <w:rFonts w:ascii="Times New Roman" w:hAnsi="Times New Roman"/>
        </w:rPr>
        <w:t xml:space="preserve">are better able than generalist courts to select </w:t>
      </w:r>
      <w:r w:rsidR="00613E10">
        <w:rPr>
          <w:rFonts w:ascii="Times New Roman" w:hAnsi="Times New Roman"/>
        </w:rPr>
        <w:t>th</w:t>
      </w:r>
      <w:r w:rsidR="00906D53">
        <w:rPr>
          <w:rFonts w:ascii="Times New Roman" w:hAnsi="Times New Roman"/>
        </w:rPr>
        <w:t xml:space="preserve">at combination </w:t>
      </w:r>
      <w:r w:rsidR="00613E10">
        <w:rPr>
          <w:rFonts w:ascii="Times New Roman" w:hAnsi="Times New Roman"/>
        </w:rPr>
        <w:t xml:space="preserve">of text and context </w:t>
      </w:r>
      <w:r w:rsidR="00906D53">
        <w:rPr>
          <w:rFonts w:ascii="Times New Roman" w:hAnsi="Times New Roman"/>
        </w:rPr>
        <w:t>that</w:t>
      </w:r>
      <w:r w:rsidR="00906D53" w:rsidRPr="00906D53">
        <w:rPr>
          <w:rFonts w:ascii="Times New Roman" w:hAnsi="Times New Roman"/>
        </w:rPr>
        <w:t xml:space="preserve"> </w:t>
      </w:r>
      <w:r w:rsidR="00906D53" w:rsidRPr="00D12A5A">
        <w:rPr>
          <w:rFonts w:ascii="Times New Roman" w:hAnsi="Times New Roman"/>
        </w:rPr>
        <w:t xml:space="preserve">in different environments </w:t>
      </w:r>
      <w:r w:rsidR="00CC7772" w:rsidRPr="00D12A5A">
        <w:rPr>
          <w:rFonts w:ascii="Times New Roman" w:hAnsi="Times New Roman"/>
        </w:rPr>
        <w:t xml:space="preserve">best </w:t>
      </w:r>
      <w:r w:rsidR="009511CB">
        <w:rPr>
          <w:rFonts w:ascii="Times New Roman" w:hAnsi="Times New Roman"/>
        </w:rPr>
        <w:t>reduce</w:t>
      </w:r>
      <w:r w:rsidR="00906D53">
        <w:rPr>
          <w:rFonts w:ascii="Times New Roman" w:hAnsi="Times New Roman"/>
        </w:rPr>
        <w:t xml:space="preserve">s expected </w:t>
      </w:r>
      <w:r w:rsidR="009511CB">
        <w:rPr>
          <w:rFonts w:ascii="Times New Roman" w:hAnsi="Times New Roman"/>
        </w:rPr>
        <w:t>opportunism costs</w:t>
      </w:r>
      <w:r w:rsidR="00CC7772">
        <w:rPr>
          <w:rFonts w:ascii="Times New Roman" w:hAnsi="Times New Roman"/>
        </w:rPr>
        <w:t xml:space="preserve">. </w:t>
      </w:r>
      <w:r w:rsidR="009511CB">
        <w:rPr>
          <w:rFonts w:ascii="Times New Roman" w:hAnsi="Times New Roman" w:cs="Times New Roman"/>
        </w:rPr>
        <w:t xml:space="preserve"> </w:t>
      </w:r>
      <w:r w:rsidR="00EF5BF7">
        <w:rPr>
          <w:rFonts w:ascii="Times New Roman" w:hAnsi="Times New Roman" w:cs="Times New Roman"/>
        </w:rPr>
        <w:t>By deploying sophisticated design strategies tail</w:t>
      </w:r>
      <w:r w:rsidR="006038E6">
        <w:rPr>
          <w:rFonts w:ascii="Times New Roman" w:hAnsi="Times New Roman" w:cs="Times New Roman"/>
        </w:rPr>
        <w:t xml:space="preserve">ored to particular environments, </w:t>
      </w:r>
      <w:r w:rsidR="00EF5BF7">
        <w:rPr>
          <w:rFonts w:ascii="Times New Roman" w:hAnsi="Times New Roman" w:cs="Times New Roman"/>
        </w:rPr>
        <w:t xml:space="preserve">parties are able to </w:t>
      </w:r>
      <w:r w:rsidR="00D07091">
        <w:rPr>
          <w:rFonts w:ascii="Times New Roman" w:hAnsi="Times New Roman" w:cs="Times New Roman"/>
        </w:rPr>
        <w:t>cabin the role of the decision maker tasked with policing difficult to verify shading behavior.</w:t>
      </w:r>
      <w:r w:rsidR="00716452">
        <w:rPr>
          <w:rFonts w:ascii="Times New Roman" w:hAnsi="Times New Roman" w:cs="Times New Roman"/>
        </w:rPr>
        <w:t xml:space="preserve"> </w:t>
      </w:r>
    </w:p>
    <w:p w14:paraId="6F83BEE0" w14:textId="4D6A8593" w:rsidR="00B23FD4" w:rsidRPr="008A1BB9" w:rsidRDefault="00D07091" w:rsidP="00D07091">
      <w:pPr>
        <w:pStyle w:val="Body1"/>
        <w:spacing w:line="360" w:lineRule="auto"/>
        <w:ind w:left="1440"/>
        <w:rPr>
          <w:rFonts w:ascii="Times New Roman" w:hAnsi="Times New Roman"/>
          <w:b/>
        </w:rPr>
      </w:pPr>
      <w:r>
        <w:rPr>
          <w:rFonts w:ascii="Times New Roman" w:hAnsi="Times New Roman"/>
          <w:b/>
        </w:rPr>
        <w:t xml:space="preserve">     </w:t>
      </w:r>
    </w:p>
    <w:p w14:paraId="74954530" w14:textId="6A47D5DC" w:rsidR="00B23FD4" w:rsidRPr="00423360" w:rsidRDefault="004A3C3C" w:rsidP="004A3C3C">
      <w:pPr>
        <w:pStyle w:val="Body1"/>
        <w:spacing w:line="360" w:lineRule="auto"/>
        <w:jc w:val="center"/>
        <w:rPr>
          <w:rFonts w:ascii="Times New Roman" w:hAnsi="Times New Roman"/>
          <w:b/>
          <w:bCs/>
          <w:smallCaps/>
          <w:szCs w:val="24"/>
        </w:rPr>
      </w:pPr>
      <w:r w:rsidRPr="00423360">
        <w:rPr>
          <w:rFonts w:ascii="Times New Roman" w:hAnsi="Times New Roman"/>
          <w:b/>
          <w:bCs/>
          <w:smallCaps/>
          <w:szCs w:val="24"/>
        </w:rPr>
        <w:t xml:space="preserve">I. </w:t>
      </w:r>
      <w:r w:rsidR="00423360">
        <w:rPr>
          <w:rFonts w:ascii="Times New Roman" w:hAnsi="Times New Roman"/>
          <w:b/>
          <w:bCs/>
          <w:smallCaps/>
          <w:szCs w:val="24"/>
        </w:rPr>
        <w:t xml:space="preserve"> </w:t>
      </w:r>
      <w:r w:rsidR="006038E6">
        <w:rPr>
          <w:rFonts w:ascii="Times New Roman" w:hAnsi="Times New Roman"/>
          <w:b/>
          <w:bCs/>
          <w:smallCaps/>
          <w:szCs w:val="24"/>
        </w:rPr>
        <w:t>Why D</w:t>
      </w:r>
      <w:r w:rsidR="00D07091" w:rsidRPr="00423360">
        <w:rPr>
          <w:rFonts w:ascii="Times New Roman" w:hAnsi="Times New Roman"/>
          <w:b/>
          <w:bCs/>
          <w:smallCaps/>
          <w:szCs w:val="24"/>
        </w:rPr>
        <w:t>o Contracting Parties Breach?</w:t>
      </w:r>
    </w:p>
    <w:p w14:paraId="10105A9E" w14:textId="3DC5FED3" w:rsidR="004A3C3C" w:rsidRPr="00D07091" w:rsidRDefault="004A3C3C" w:rsidP="004A3C3C">
      <w:pPr>
        <w:pStyle w:val="Body1"/>
        <w:spacing w:line="360" w:lineRule="auto"/>
        <w:ind w:left="2220"/>
        <w:rPr>
          <w:rFonts w:ascii="Times New Roman" w:hAnsi="Times New Roman"/>
          <w:b/>
        </w:rPr>
      </w:pPr>
    </w:p>
    <w:p w14:paraId="3D0CB392" w14:textId="3B7EC826" w:rsidR="006F3838" w:rsidRPr="00396262" w:rsidRDefault="006F3838" w:rsidP="00F13D3B">
      <w:pPr>
        <w:pStyle w:val="Body1"/>
        <w:spacing w:line="360" w:lineRule="auto"/>
        <w:ind w:firstLine="720"/>
        <w:rPr>
          <w:rFonts w:ascii="Times New Roman" w:hAnsi="Times New Roman"/>
          <w:szCs w:val="24"/>
        </w:rPr>
      </w:pPr>
      <w:r>
        <w:rPr>
          <w:rFonts w:ascii="Times New Roman" w:hAnsi="Times New Roman"/>
        </w:rPr>
        <w:t>The funda</w:t>
      </w:r>
      <w:r w:rsidR="00791AF9">
        <w:rPr>
          <w:rFonts w:ascii="Times New Roman" w:hAnsi="Times New Roman"/>
        </w:rPr>
        <w:t>mental challenge</w:t>
      </w:r>
      <w:r w:rsidR="004A3C3C">
        <w:rPr>
          <w:rFonts w:ascii="Times New Roman" w:hAnsi="Times New Roman"/>
        </w:rPr>
        <w:t xml:space="preserve"> for</w:t>
      </w:r>
      <w:r w:rsidR="00791AF9">
        <w:rPr>
          <w:rFonts w:ascii="Times New Roman" w:hAnsi="Times New Roman"/>
        </w:rPr>
        <w:t xml:space="preserve"> lawyers in designing a contract </w:t>
      </w:r>
      <w:r>
        <w:rPr>
          <w:rFonts w:ascii="Times New Roman" w:hAnsi="Times New Roman"/>
        </w:rPr>
        <w:t xml:space="preserve">is that contractual obligations are </w:t>
      </w:r>
      <w:r w:rsidR="00822E35">
        <w:rPr>
          <w:rFonts w:ascii="Times New Roman" w:hAnsi="Times New Roman"/>
        </w:rPr>
        <w:t>agree</w:t>
      </w:r>
      <w:r w:rsidR="006D3A2E">
        <w:rPr>
          <w:rFonts w:ascii="Times New Roman" w:hAnsi="Times New Roman"/>
        </w:rPr>
        <w:t>d</w:t>
      </w:r>
      <w:r w:rsidR="00822E35">
        <w:rPr>
          <w:rFonts w:ascii="Times New Roman" w:hAnsi="Times New Roman"/>
        </w:rPr>
        <w:t xml:space="preserve"> to </w:t>
      </w:r>
      <w:r>
        <w:rPr>
          <w:rFonts w:ascii="Times New Roman" w:hAnsi="Times New Roman"/>
        </w:rPr>
        <w:t xml:space="preserve">ex ante </w:t>
      </w:r>
      <w:r w:rsidR="00F13D3B">
        <w:rPr>
          <w:rFonts w:ascii="Times New Roman" w:hAnsi="Times New Roman"/>
        </w:rPr>
        <w:t xml:space="preserve">(at the time the contract is formed) </w:t>
      </w:r>
      <w:r>
        <w:rPr>
          <w:rFonts w:ascii="Times New Roman" w:hAnsi="Times New Roman"/>
        </w:rPr>
        <w:t>but are enforced ex post</w:t>
      </w:r>
      <w:r w:rsidR="00F13D3B">
        <w:rPr>
          <w:rFonts w:ascii="Times New Roman" w:hAnsi="Times New Roman"/>
        </w:rPr>
        <w:t xml:space="preserve"> (after the transaction has broken down and parties are litigating)</w:t>
      </w:r>
      <w:r>
        <w:rPr>
          <w:rFonts w:ascii="Times New Roman" w:hAnsi="Times New Roman"/>
        </w:rPr>
        <w:t xml:space="preserve">. </w:t>
      </w:r>
      <w:r w:rsidR="00F13D3B">
        <w:rPr>
          <w:rFonts w:ascii="Times New Roman" w:hAnsi="Times New Roman"/>
        </w:rPr>
        <w:t>Because courts have the benefit of hindsight, t</w:t>
      </w:r>
      <w:r>
        <w:rPr>
          <w:rFonts w:ascii="Times New Roman" w:hAnsi="Times New Roman"/>
        </w:rPr>
        <w:t>he ex post world sometimes</w:t>
      </w:r>
      <w:r w:rsidR="00F13D3B">
        <w:rPr>
          <w:rFonts w:ascii="Times New Roman" w:hAnsi="Times New Roman"/>
        </w:rPr>
        <w:t xml:space="preserve">, </w:t>
      </w:r>
      <w:r w:rsidR="00B86851">
        <w:rPr>
          <w:rFonts w:ascii="Times New Roman" w:hAnsi="Times New Roman"/>
        </w:rPr>
        <w:t>though</w:t>
      </w:r>
      <w:r w:rsidR="00F13D3B">
        <w:rPr>
          <w:rFonts w:ascii="Times New Roman" w:hAnsi="Times New Roman"/>
        </w:rPr>
        <w:t xml:space="preserve"> not always</w:t>
      </w:r>
      <w:r w:rsidR="00101A6A">
        <w:rPr>
          <w:rFonts w:ascii="Times New Roman" w:hAnsi="Times New Roman"/>
        </w:rPr>
        <w:t>,</w:t>
      </w:r>
      <w:r>
        <w:rPr>
          <w:rFonts w:ascii="Times New Roman" w:hAnsi="Times New Roman"/>
        </w:rPr>
        <w:t xml:space="preserve"> resolves </w:t>
      </w:r>
      <w:r w:rsidR="00F13D3B">
        <w:rPr>
          <w:rFonts w:ascii="Times New Roman" w:hAnsi="Times New Roman"/>
        </w:rPr>
        <w:lastRenderedPageBreak/>
        <w:t>the uncertainties of ex ante contracting</w:t>
      </w:r>
      <w:r w:rsidR="00101A6A">
        <w:rPr>
          <w:rFonts w:ascii="Times New Roman" w:hAnsi="Times New Roman"/>
        </w:rPr>
        <w:t xml:space="preserve">. </w:t>
      </w:r>
      <w:r w:rsidR="00B23FD4">
        <w:rPr>
          <w:rFonts w:ascii="Times New Roman" w:hAnsi="Times New Roman"/>
        </w:rPr>
        <w:t xml:space="preserve"> </w:t>
      </w:r>
      <w:r w:rsidR="00101A6A">
        <w:rPr>
          <w:rFonts w:ascii="Times New Roman" w:hAnsi="Times New Roman"/>
        </w:rPr>
        <w:t xml:space="preserve">In order to </w:t>
      </w:r>
      <w:r w:rsidR="00B86851">
        <w:rPr>
          <w:rFonts w:ascii="Times New Roman" w:hAnsi="Times New Roman"/>
        </w:rPr>
        <w:t>resolve those uncertainties</w:t>
      </w:r>
      <w:r w:rsidR="00101A6A">
        <w:rPr>
          <w:rFonts w:ascii="Times New Roman" w:hAnsi="Times New Roman"/>
        </w:rPr>
        <w:t>,</w:t>
      </w:r>
      <w:r>
        <w:rPr>
          <w:rFonts w:ascii="Times New Roman" w:hAnsi="Times New Roman"/>
        </w:rPr>
        <w:t xml:space="preserve"> </w:t>
      </w:r>
      <w:r w:rsidR="00B23FD4">
        <w:rPr>
          <w:rFonts w:ascii="Times New Roman" w:hAnsi="Times New Roman"/>
        </w:rPr>
        <w:t xml:space="preserve">however, </w:t>
      </w:r>
      <w:r>
        <w:rPr>
          <w:rFonts w:ascii="Times New Roman" w:hAnsi="Times New Roman"/>
        </w:rPr>
        <w:t xml:space="preserve">courts </w:t>
      </w:r>
      <w:r w:rsidR="00101A6A">
        <w:rPr>
          <w:rFonts w:ascii="Times New Roman" w:hAnsi="Times New Roman"/>
        </w:rPr>
        <w:t>must be</w:t>
      </w:r>
      <w:r>
        <w:rPr>
          <w:rFonts w:ascii="Times New Roman" w:hAnsi="Times New Roman"/>
        </w:rPr>
        <w:t xml:space="preserve"> empowered to interpret contract terms. </w:t>
      </w:r>
      <w:r w:rsidR="00B23FD4">
        <w:rPr>
          <w:rFonts w:ascii="Times New Roman" w:hAnsi="Times New Roman"/>
        </w:rPr>
        <w:t xml:space="preserve"> </w:t>
      </w:r>
      <w:r w:rsidR="004A3C3C">
        <w:rPr>
          <w:rFonts w:ascii="Times New Roman" w:hAnsi="Times New Roman"/>
        </w:rPr>
        <w:t xml:space="preserve">But </w:t>
      </w:r>
      <w:r w:rsidR="00B23FD4">
        <w:rPr>
          <w:rFonts w:ascii="Times New Roman" w:hAnsi="Times New Roman"/>
        </w:rPr>
        <w:t xml:space="preserve">here is the rub: the invitation to interpret the agreement creates </w:t>
      </w:r>
      <w:r w:rsidR="000B684E">
        <w:rPr>
          <w:rFonts w:ascii="Times New Roman" w:hAnsi="Times New Roman"/>
        </w:rPr>
        <w:t xml:space="preserve">an opportunity for a </w:t>
      </w:r>
      <w:r w:rsidR="00905F2D">
        <w:rPr>
          <w:rFonts w:ascii="Times New Roman" w:hAnsi="Times New Roman"/>
        </w:rPr>
        <w:t>mulligan, a “do-over</w:t>
      </w:r>
      <w:r w:rsidR="000B684E">
        <w:rPr>
          <w:rFonts w:ascii="Times New Roman" w:hAnsi="Times New Roman"/>
        </w:rPr>
        <w:t>”</w:t>
      </w:r>
      <w:r w:rsidR="00B23FD4">
        <w:rPr>
          <w:rFonts w:ascii="Times New Roman" w:hAnsi="Times New Roman"/>
        </w:rPr>
        <w:t xml:space="preserve"> where </w:t>
      </w:r>
      <w:r w:rsidR="00C07453">
        <w:rPr>
          <w:rFonts w:ascii="Times New Roman" w:hAnsi="Times New Roman"/>
        </w:rPr>
        <w:t xml:space="preserve">either </w:t>
      </w:r>
      <w:r w:rsidR="00B23FD4">
        <w:rPr>
          <w:rFonts w:ascii="Times New Roman" w:hAnsi="Times New Roman"/>
        </w:rPr>
        <w:t xml:space="preserve">party can behave strategically:  </w:t>
      </w:r>
      <w:r w:rsidR="00BE4954">
        <w:rPr>
          <w:rFonts w:ascii="Times New Roman" w:hAnsi="Times New Roman"/>
        </w:rPr>
        <w:t xml:space="preserve">the party </w:t>
      </w:r>
      <w:r w:rsidR="0087487E">
        <w:rPr>
          <w:rFonts w:ascii="Times New Roman" w:hAnsi="Times New Roman"/>
        </w:rPr>
        <w:t xml:space="preserve">who is </w:t>
      </w:r>
      <w:r w:rsidR="00BE4954">
        <w:rPr>
          <w:rFonts w:ascii="Times New Roman" w:hAnsi="Times New Roman"/>
        </w:rPr>
        <w:t xml:space="preserve">disappointed by subsequent events </w:t>
      </w:r>
      <w:r w:rsidR="00C07453">
        <w:rPr>
          <w:rFonts w:ascii="Times New Roman" w:hAnsi="Times New Roman"/>
        </w:rPr>
        <w:t xml:space="preserve">may </w:t>
      </w:r>
      <w:r w:rsidR="00B23FD4">
        <w:rPr>
          <w:rFonts w:ascii="Times New Roman" w:hAnsi="Times New Roman"/>
        </w:rPr>
        <w:t xml:space="preserve">argue that the contract as written doesn’t fully reflect the parties </w:t>
      </w:r>
      <w:r w:rsidR="0087487E">
        <w:rPr>
          <w:rFonts w:ascii="Times New Roman" w:hAnsi="Times New Roman"/>
        </w:rPr>
        <w:t xml:space="preserve">true </w:t>
      </w:r>
      <w:r w:rsidR="00B23FD4">
        <w:rPr>
          <w:rFonts w:ascii="Times New Roman" w:hAnsi="Times New Roman"/>
        </w:rPr>
        <w:t>agreement</w:t>
      </w:r>
      <w:r w:rsidR="0087487E">
        <w:rPr>
          <w:rFonts w:ascii="Times New Roman" w:hAnsi="Times New Roman"/>
        </w:rPr>
        <w:t>,</w:t>
      </w:r>
      <w:r w:rsidR="00B23FD4">
        <w:rPr>
          <w:rFonts w:ascii="Times New Roman" w:hAnsi="Times New Roman"/>
        </w:rPr>
        <w:t xml:space="preserve"> </w:t>
      </w:r>
      <w:r w:rsidR="00C07453">
        <w:rPr>
          <w:rFonts w:ascii="Times New Roman" w:hAnsi="Times New Roman"/>
        </w:rPr>
        <w:t>and</w:t>
      </w:r>
      <w:r w:rsidR="000B684E">
        <w:rPr>
          <w:rFonts w:ascii="Times New Roman" w:hAnsi="Times New Roman"/>
        </w:rPr>
        <w:t>,</w:t>
      </w:r>
      <w:r w:rsidR="00B23FD4">
        <w:rPr>
          <w:rFonts w:ascii="Times New Roman" w:hAnsi="Times New Roman"/>
        </w:rPr>
        <w:t xml:space="preserve"> conversely</w:t>
      </w:r>
      <w:r w:rsidR="000B684E">
        <w:rPr>
          <w:rFonts w:ascii="Times New Roman" w:hAnsi="Times New Roman"/>
        </w:rPr>
        <w:t>,</w:t>
      </w:r>
      <w:r w:rsidR="00B23FD4">
        <w:rPr>
          <w:rFonts w:ascii="Times New Roman" w:hAnsi="Times New Roman"/>
        </w:rPr>
        <w:t xml:space="preserve"> </w:t>
      </w:r>
      <w:r w:rsidR="00C07453">
        <w:rPr>
          <w:rFonts w:ascii="Times New Roman" w:hAnsi="Times New Roman"/>
        </w:rPr>
        <w:t>the party who was blessed by fate may</w:t>
      </w:r>
      <w:r w:rsidR="00B23FD4">
        <w:rPr>
          <w:rFonts w:ascii="Times New Roman" w:hAnsi="Times New Roman"/>
        </w:rPr>
        <w:t xml:space="preserve"> argue that the contract as written is exactly what the parties intended even though it appears </w:t>
      </w:r>
      <w:r w:rsidR="00C07453">
        <w:rPr>
          <w:rFonts w:ascii="Times New Roman" w:hAnsi="Times New Roman"/>
        </w:rPr>
        <w:t xml:space="preserve">in hindsight </w:t>
      </w:r>
      <w:r w:rsidR="00B23FD4">
        <w:rPr>
          <w:rFonts w:ascii="Times New Roman" w:hAnsi="Times New Roman"/>
        </w:rPr>
        <w:t xml:space="preserve">to lead to unreasonable results.  Anticipating this problem, the challenge for the transactional lawyer is </w:t>
      </w:r>
      <w:r w:rsidR="0087487E">
        <w:rPr>
          <w:rFonts w:ascii="Times New Roman" w:hAnsi="Times New Roman"/>
        </w:rPr>
        <w:t>to choose between two very different options:  either</w:t>
      </w:r>
      <w:r w:rsidR="00B23FD4">
        <w:rPr>
          <w:rFonts w:ascii="Times New Roman" w:hAnsi="Times New Roman"/>
        </w:rPr>
        <w:t xml:space="preserve"> to</w:t>
      </w:r>
      <w:r w:rsidR="000B684E">
        <w:rPr>
          <w:rFonts w:ascii="Times New Roman" w:hAnsi="Times New Roman"/>
        </w:rPr>
        <w:t xml:space="preserve"> </w:t>
      </w:r>
      <w:r w:rsidR="0087487E">
        <w:rPr>
          <w:rFonts w:ascii="Times New Roman" w:hAnsi="Times New Roman"/>
        </w:rPr>
        <w:t xml:space="preserve">expend costs in drafting and negotiating in order to </w:t>
      </w:r>
      <w:r w:rsidR="000B684E">
        <w:rPr>
          <w:rFonts w:ascii="Times New Roman" w:hAnsi="Times New Roman"/>
        </w:rPr>
        <w:t xml:space="preserve">devise </w:t>
      </w:r>
      <w:r w:rsidR="00B86851">
        <w:rPr>
          <w:rFonts w:ascii="Times New Roman" w:hAnsi="Times New Roman"/>
        </w:rPr>
        <w:t xml:space="preserve">innovative </w:t>
      </w:r>
      <w:r w:rsidR="000B684E">
        <w:rPr>
          <w:rFonts w:ascii="Times New Roman" w:hAnsi="Times New Roman"/>
        </w:rPr>
        <w:t xml:space="preserve">contract terms that </w:t>
      </w:r>
      <w:r w:rsidR="00B23FD4">
        <w:rPr>
          <w:rFonts w:ascii="Times New Roman" w:hAnsi="Times New Roman"/>
        </w:rPr>
        <w:t xml:space="preserve">reduce the likelihood of </w:t>
      </w:r>
      <w:r w:rsidR="00B86851">
        <w:rPr>
          <w:rFonts w:ascii="Times New Roman" w:hAnsi="Times New Roman"/>
        </w:rPr>
        <w:t xml:space="preserve">future </w:t>
      </w:r>
      <w:r w:rsidR="00B23FD4">
        <w:rPr>
          <w:rFonts w:ascii="Times New Roman" w:hAnsi="Times New Roman"/>
        </w:rPr>
        <w:t xml:space="preserve">strategic behavior </w:t>
      </w:r>
      <w:r w:rsidR="000B684E">
        <w:rPr>
          <w:rFonts w:ascii="Times New Roman" w:hAnsi="Times New Roman"/>
        </w:rPr>
        <w:t xml:space="preserve">or to </w:t>
      </w:r>
      <w:r w:rsidR="0087487E">
        <w:rPr>
          <w:rFonts w:ascii="Times New Roman" w:hAnsi="Times New Roman"/>
        </w:rPr>
        <w:t xml:space="preserve">postpone those costs and </w:t>
      </w:r>
      <w:r w:rsidR="000B684E">
        <w:rPr>
          <w:rFonts w:ascii="Times New Roman" w:hAnsi="Times New Roman"/>
        </w:rPr>
        <w:t xml:space="preserve">delegate discretion to a </w:t>
      </w:r>
      <w:r w:rsidR="0087487E">
        <w:rPr>
          <w:rFonts w:ascii="Times New Roman" w:hAnsi="Times New Roman"/>
        </w:rPr>
        <w:t xml:space="preserve">later </w:t>
      </w:r>
      <w:r w:rsidR="000B684E">
        <w:rPr>
          <w:rFonts w:ascii="Times New Roman" w:hAnsi="Times New Roman"/>
        </w:rPr>
        <w:t>court to root out and deter this strategic</w:t>
      </w:r>
      <w:r w:rsidR="00B23FD4">
        <w:rPr>
          <w:rFonts w:ascii="Times New Roman" w:hAnsi="Times New Roman"/>
        </w:rPr>
        <w:t xml:space="preserve"> behavior</w:t>
      </w:r>
      <w:r w:rsidR="000B684E">
        <w:rPr>
          <w:rFonts w:ascii="Times New Roman" w:hAnsi="Times New Roman"/>
        </w:rPr>
        <w:t xml:space="preserve"> once litigation arises.</w:t>
      </w:r>
    </w:p>
    <w:p w14:paraId="2B51CF11" w14:textId="77777777" w:rsidR="006F3838" w:rsidRDefault="006F3838" w:rsidP="006F3838">
      <w:pPr>
        <w:spacing w:line="360" w:lineRule="auto"/>
        <w:ind w:firstLine="720"/>
        <w:rPr>
          <w:rFonts w:ascii="Times New Roman" w:hAnsi="Times New Roman" w:cs="Times New Roman"/>
        </w:rPr>
      </w:pPr>
    </w:p>
    <w:p w14:paraId="1170B04B" w14:textId="4E743B5A" w:rsidR="006F3838" w:rsidRDefault="006F3838" w:rsidP="00C14AE6">
      <w:pPr>
        <w:spacing w:line="360" w:lineRule="auto"/>
        <w:ind w:firstLine="720"/>
        <w:rPr>
          <w:rFonts w:ascii="Times New Roman" w:hAnsi="Times New Roman" w:cs="Times New Roman"/>
        </w:rPr>
      </w:pPr>
      <w:r>
        <w:rPr>
          <w:rFonts w:ascii="Times New Roman" w:hAnsi="Times New Roman" w:cs="Times New Roman"/>
        </w:rPr>
        <w:t xml:space="preserve"> There are several reason</w:t>
      </w:r>
      <w:r w:rsidR="00C14AE6">
        <w:rPr>
          <w:rFonts w:ascii="Times New Roman" w:hAnsi="Times New Roman" w:cs="Times New Roman"/>
        </w:rPr>
        <w:t xml:space="preserve">s </w:t>
      </w:r>
      <w:r w:rsidR="00C05B31">
        <w:rPr>
          <w:rFonts w:ascii="Times New Roman" w:hAnsi="Times New Roman" w:cs="Times New Roman"/>
        </w:rPr>
        <w:t>why contract doctrine does not provide any guidance on how best to respond to this challenge</w:t>
      </w:r>
      <w:r>
        <w:rPr>
          <w:rFonts w:ascii="Times New Roman" w:hAnsi="Times New Roman" w:cs="Times New Roman"/>
        </w:rPr>
        <w:t xml:space="preserve"> but one in particular stands out.  Contract </w:t>
      </w:r>
      <w:r w:rsidR="00791AF9">
        <w:rPr>
          <w:rFonts w:ascii="Times New Roman" w:hAnsi="Times New Roman" w:cs="Times New Roman"/>
        </w:rPr>
        <w:t>law scholars have</w:t>
      </w:r>
      <w:r>
        <w:rPr>
          <w:rFonts w:ascii="Times New Roman" w:hAnsi="Times New Roman" w:cs="Times New Roman"/>
        </w:rPr>
        <w:t xml:space="preserve"> failed badly in understanding the causes and effects of contract breach. The difficulty starts with a misspecification of the problem. It is incorrect to </w:t>
      </w:r>
      <w:r w:rsidR="00396262">
        <w:rPr>
          <w:rFonts w:ascii="Times New Roman" w:hAnsi="Times New Roman" w:cs="Times New Roman"/>
        </w:rPr>
        <w:t xml:space="preserve">think of </w:t>
      </w:r>
      <w:r>
        <w:rPr>
          <w:rFonts w:ascii="Times New Roman" w:hAnsi="Times New Roman" w:cs="Times New Roman"/>
        </w:rPr>
        <w:t>contr</w:t>
      </w:r>
      <w:r w:rsidR="00143599">
        <w:rPr>
          <w:rFonts w:ascii="Times New Roman" w:hAnsi="Times New Roman" w:cs="Times New Roman"/>
        </w:rPr>
        <w:t>act breach as</w:t>
      </w:r>
      <w:r w:rsidR="006D6E38">
        <w:rPr>
          <w:rFonts w:ascii="Times New Roman" w:hAnsi="Times New Roman" w:cs="Times New Roman"/>
        </w:rPr>
        <w:t xml:space="preserve"> </w:t>
      </w:r>
      <w:r w:rsidR="0087487E">
        <w:rPr>
          <w:rFonts w:ascii="Times New Roman" w:hAnsi="Times New Roman" w:cs="Times New Roman"/>
        </w:rPr>
        <w:t xml:space="preserve">either </w:t>
      </w:r>
      <w:r w:rsidR="006D6E38">
        <w:rPr>
          <w:rFonts w:ascii="Times New Roman" w:hAnsi="Times New Roman" w:cs="Times New Roman"/>
        </w:rPr>
        <w:t xml:space="preserve">action </w:t>
      </w:r>
      <w:r w:rsidR="001A10FA">
        <w:rPr>
          <w:rFonts w:ascii="Times New Roman" w:hAnsi="Times New Roman" w:cs="Times New Roman"/>
        </w:rPr>
        <w:t xml:space="preserve">(or inaction) </w:t>
      </w:r>
      <w:r w:rsidR="006D6E38">
        <w:rPr>
          <w:rFonts w:ascii="Times New Roman" w:hAnsi="Times New Roman" w:cs="Times New Roman"/>
        </w:rPr>
        <w:t>by a</w:t>
      </w:r>
      <w:r>
        <w:rPr>
          <w:rFonts w:ascii="Times New Roman" w:hAnsi="Times New Roman" w:cs="Times New Roman"/>
        </w:rPr>
        <w:t xml:space="preserve"> party </w:t>
      </w:r>
      <w:r w:rsidR="006D3A2E">
        <w:rPr>
          <w:rFonts w:ascii="Times New Roman" w:hAnsi="Times New Roman" w:cs="Times New Roman"/>
        </w:rPr>
        <w:t xml:space="preserve">who </w:t>
      </w:r>
      <w:r w:rsidR="001A10FA">
        <w:rPr>
          <w:rFonts w:ascii="Times New Roman" w:hAnsi="Times New Roman" w:cs="Times New Roman"/>
        </w:rPr>
        <w:t xml:space="preserve">thereby </w:t>
      </w:r>
      <w:r w:rsidR="006D3A2E">
        <w:rPr>
          <w:rFonts w:ascii="Times New Roman" w:hAnsi="Times New Roman" w:cs="Times New Roman"/>
        </w:rPr>
        <w:t>fails to perform its contractual obligations satisfactorily.</w:t>
      </w:r>
      <w:r w:rsidR="001A10FA">
        <w:rPr>
          <w:rFonts w:ascii="Times New Roman" w:hAnsi="Times New Roman" w:cs="Times New Roman"/>
        </w:rPr>
        <w:t xml:space="preserve"> </w:t>
      </w:r>
      <w:r w:rsidR="006D6E38">
        <w:rPr>
          <w:rFonts w:ascii="Times New Roman" w:hAnsi="Times New Roman" w:cs="Times New Roman"/>
        </w:rPr>
        <w:t xml:space="preserve"> More properly</w:t>
      </w:r>
      <w:r>
        <w:rPr>
          <w:rFonts w:ascii="Times New Roman" w:hAnsi="Times New Roman" w:cs="Times New Roman"/>
        </w:rPr>
        <w:t xml:space="preserve">, breach is a </w:t>
      </w:r>
      <w:r w:rsidRPr="006D3A2E">
        <w:rPr>
          <w:rFonts w:ascii="Times New Roman" w:hAnsi="Times New Roman" w:cs="Times New Roman"/>
          <w:i/>
        </w:rPr>
        <w:t>legal conclusion</w:t>
      </w:r>
      <w:r>
        <w:rPr>
          <w:rFonts w:ascii="Times New Roman" w:hAnsi="Times New Roman" w:cs="Times New Roman"/>
        </w:rPr>
        <w:t xml:space="preserve"> reached by a court that is charged with the duty of </w:t>
      </w:r>
      <w:r w:rsidR="006D3A2E">
        <w:rPr>
          <w:rFonts w:ascii="Times New Roman" w:hAnsi="Times New Roman" w:cs="Times New Roman"/>
        </w:rPr>
        <w:t>resolving these private disputes.</w:t>
      </w:r>
      <w:r w:rsidR="00396262">
        <w:rPr>
          <w:rFonts w:ascii="Times New Roman" w:hAnsi="Times New Roman" w:cs="Times New Roman"/>
        </w:rPr>
        <w:t xml:space="preserve"> So let’s ask the question</w:t>
      </w:r>
      <w:r>
        <w:rPr>
          <w:rFonts w:ascii="Times New Roman" w:hAnsi="Times New Roman" w:cs="Times New Roman"/>
        </w:rPr>
        <w:t xml:space="preserve"> </w:t>
      </w:r>
      <w:r w:rsidR="00F13272">
        <w:rPr>
          <w:rFonts w:ascii="Times New Roman" w:hAnsi="Times New Roman" w:cs="Times New Roman"/>
        </w:rPr>
        <w:t xml:space="preserve">more </w:t>
      </w:r>
      <w:r>
        <w:rPr>
          <w:rFonts w:ascii="Times New Roman" w:hAnsi="Times New Roman" w:cs="Times New Roman"/>
        </w:rPr>
        <w:t>precisely.</w:t>
      </w:r>
      <w:r w:rsidR="00143599">
        <w:rPr>
          <w:rFonts w:ascii="Times New Roman" w:hAnsi="Times New Roman" w:cs="Times New Roman"/>
        </w:rPr>
        <w:t xml:space="preserve"> </w:t>
      </w:r>
      <w:r>
        <w:rPr>
          <w:rFonts w:ascii="Times New Roman" w:hAnsi="Times New Roman" w:cs="Times New Roman"/>
        </w:rPr>
        <w:t xml:space="preserve"> Given the coercive power of the state to enforce contracts</w:t>
      </w:r>
      <w:r w:rsidR="00E108D7">
        <w:rPr>
          <w:rFonts w:ascii="Times New Roman" w:hAnsi="Times New Roman" w:cs="Times New Roman"/>
        </w:rPr>
        <w:t xml:space="preserve"> and award compensa</w:t>
      </w:r>
      <w:r w:rsidR="00A048A4">
        <w:rPr>
          <w:rFonts w:ascii="Times New Roman" w:hAnsi="Times New Roman" w:cs="Times New Roman"/>
        </w:rPr>
        <w:t>tory damages</w:t>
      </w:r>
      <w:r w:rsidR="007A40B9">
        <w:rPr>
          <w:rFonts w:ascii="Times New Roman" w:hAnsi="Times New Roman" w:cs="Times New Roman"/>
        </w:rPr>
        <w:t>, w</w:t>
      </w:r>
      <w:r>
        <w:rPr>
          <w:rFonts w:ascii="Times New Roman" w:hAnsi="Times New Roman" w:cs="Times New Roman"/>
        </w:rPr>
        <w:t xml:space="preserve">hy do parties </w:t>
      </w:r>
      <w:r w:rsidR="006D3A2E">
        <w:rPr>
          <w:rFonts w:ascii="Times New Roman" w:hAnsi="Times New Roman" w:cs="Times New Roman"/>
        </w:rPr>
        <w:t xml:space="preserve">ever </w:t>
      </w:r>
      <w:r>
        <w:rPr>
          <w:rFonts w:ascii="Times New Roman" w:hAnsi="Times New Roman" w:cs="Times New Roman"/>
        </w:rPr>
        <w:t>breach? There are three major explanations.  First, many breaches are inadvertent</w:t>
      </w:r>
      <w:r w:rsidR="00EF5BF7">
        <w:rPr>
          <w:rFonts w:ascii="Times New Roman" w:hAnsi="Times New Roman" w:cs="Times New Roman"/>
        </w:rPr>
        <w:t>;</w:t>
      </w:r>
      <w:r>
        <w:rPr>
          <w:rFonts w:ascii="Times New Roman" w:hAnsi="Times New Roman" w:cs="Times New Roman"/>
        </w:rPr>
        <w:t xml:space="preserve"> that is, parties breach because they are unable to provide a timely and conforming performance.  For our purposes it does not matter why—it could be failures in production, sup</w:t>
      </w:r>
      <w:r w:rsidR="00EF5BF7">
        <w:rPr>
          <w:rFonts w:ascii="Times New Roman" w:hAnsi="Times New Roman" w:cs="Times New Roman"/>
        </w:rPr>
        <w:t>ply or any other of a host of exogenous</w:t>
      </w:r>
      <w:r>
        <w:rPr>
          <w:rFonts w:ascii="Times New Roman" w:hAnsi="Times New Roman" w:cs="Times New Roman"/>
        </w:rPr>
        <w:t xml:space="preserve"> shocks that prevent full and complete performance. In any event, inadvertent breach does not implicate contract design (at least not directly).</w:t>
      </w:r>
    </w:p>
    <w:p w14:paraId="436FDAB8" w14:textId="77777777" w:rsidR="008D52CE" w:rsidRDefault="008D52CE" w:rsidP="0050746A">
      <w:pPr>
        <w:spacing w:line="360" w:lineRule="auto"/>
        <w:ind w:firstLine="720"/>
        <w:rPr>
          <w:rFonts w:ascii="Times New Roman" w:hAnsi="Times New Roman" w:cs="Times New Roman"/>
        </w:rPr>
      </w:pPr>
    </w:p>
    <w:p w14:paraId="1F16C83B" w14:textId="6FCDAE9B" w:rsidR="00424F87" w:rsidRDefault="00CA3EFC" w:rsidP="00CA4C81">
      <w:pPr>
        <w:spacing w:line="360" w:lineRule="auto"/>
        <w:ind w:firstLine="720"/>
        <w:rPr>
          <w:rFonts w:ascii="Times New Roman" w:hAnsi="Times New Roman" w:cs="Times New Roman"/>
        </w:rPr>
      </w:pPr>
      <w:r>
        <w:rPr>
          <w:rFonts w:ascii="Times New Roman" w:hAnsi="Times New Roman" w:cs="Times New Roman"/>
        </w:rPr>
        <w:t xml:space="preserve">  What about advertent</w:t>
      </w:r>
      <w:r w:rsidR="006D3A2E">
        <w:rPr>
          <w:rFonts w:ascii="Times New Roman" w:hAnsi="Times New Roman" w:cs="Times New Roman"/>
        </w:rPr>
        <w:t xml:space="preserve"> (or purposive)</w:t>
      </w:r>
      <w:r>
        <w:rPr>
          <w:rFonts w:ascii="Times New Roman" w:hAnsi="Times New Roman" w:cs="Times New Roman"/>
        </w:rPr>
        <w:t xml:space="preserve"> breaches?  Here there are two candidates.  One hypothesis can be traced rather directly to an arti</w:t>
      </w:r>
      <w:r w:rsidR="00D3533B">
        <w:rPr>
          <w:rFonts w:ascii="Times New Roman" w:hAnsi="Times New Roman" w:cs="Times New Roman"/>
        </w:rPr>
        <w:t>c</w:t>
      </w:r>
      <w:r>
        <w:rPr>
          <w:rFonts w:ascii="Times New Roman" w:hAnsi="Times New Roman" w:cs="Times New Roman"/>
        </w:rPr>
        <w:t>le that Charl</w:t>
      </w:r>
      <w:r w:rsidR="00F13272">
        <w:rPr>
          <w:rFonts w:ascii="Times New Roman" w:hAnsi="Times New Roman" w:cs="Times New Roman"/>
        </w:rPr>
        <w:t>es</w:t>
      </w:r>
      <w:r>
        <w:rPr>
          <w:rFonts w:ascii="Times New Roman" w:hAnsi="Times New Roman" w:cs="Times New Roman"/>
        </w:rPr>
        <w:t xml:space="preserve"> Goetz and I wrote </w:t>
      </w:r>
      <w:r>
        <w:rPr>
          <w:rFonts w:ascii="Times New Roman" w:hAnsi="Times New Roman" w:cs="Times New Roman"/>
        </w:rPr>
        <w:lastRenderedPageBreak/>
        <w:t>35 years ago.</w:t>
      </w:r>
      <w:r w:rsidR="00905F2D">
        <w:rPr>
          <w:rStyle w:val="FootnoteReference"/>
          <w:rFonts w:ascii="Times New Roman" w:hAnsi="Times New Roman"/>
        </w:rPr>
        <w:footnoteReference w:id="13"/>
      </w:r>
      <w:r>
        <w:rPr>
          <w:rFonts w:ascii="Times New Roman" w:hAnsi="Times New Roman" w:cs="Times New Roman"/>
        </w:rPr>
        <w:t xml:space="preserve">  Developing an id</w:t>
      </w:r>
      <w:r w:rsidR="00D3533B">
        <w:rPr>
          <w:rFonts w:ascii="Times New Roman" w:hAnsi="Times New Roman" w:cs="Times New Roman"/>
        </w:rPr>
        <w:t>e</w:t>
      </w:r>
      <w:r>
        <w:rPr>
          <w:rFonts w:ascii="Times New Roman" w:hAnsi="Times New Roman" w:cs="Times New Roman"/>
        </w:rPr>
        <w:t xml:space="preserve">a first suggested by </w:t>
      </w:r>
      <w:r w:rsidR="00D3533B">
        <w:rPr>
          <w:rFonts w:ascii="Times New Roman" w:hAnsi="Times New Roman" w:cs="Times New Roman"/>
        </w:rPr>
        <w:t>Robert Birmingham in 1969,</w:t>
      </w:r>
      <w:r w:rsidR="004A3C3C">
        <w:rPr>
          <w:rStyle w:val="FootnoteReference"/>
          <w:rFonts w:ascii="Times New Roman" w:hAnsi="Times New Roman"/>
        </w:rPr>
        <w:footnoteReference w:id="14"/>
      </w:r>
      <w:r w:rsidR="00D3533B">
        <w:rPr>
          <w:rFonts w:ascii="Times New Roman" w:hAnsi="Times New Roman" w:cs="Times New Roman"/>
        </w:rPr>
        <w:t xml:space="preserve"> we coined the phrase “efficient breach.”  Efficient breach theory was based on the premise that a contractual obligation is not necessarily an obligation to perform but rather an obligation to choose between performance and compensatory da</w:t>
      </w:r>
      <w:r w:rsidR="00C94666">
        <w:rPr>
          <w:rFonts w:ascii="Times New Roman" w:hAnsi="Times New Roman" w:cs="Times New Roman"/>
        </w:rPr>
        <w:t>mages.  Goetz and I explained the standard default rule of expectati</w:t>
      </w:r>
      <w:r w:rsidR="007D3021">
        <w:rPr>
          <w:rFonts w:ascii="Times New Roman" w:hAnsi="Times New Roman" w:cs="Times New Roman"/>
        </w:rPr>
        <w:t>on damages by hypothesizing “</w:t>
      </w:r>
      <w:r w:rsidR="00C94666">
        <w:rPr>
          <w:rFonts w:ascii="Times New Roman" w:hAnsi="Times New Roman" w:cs="Times New Roman"/>
        </w:rPr>
        <w:t>that breach occurs where the breaching party anticipates that paying compensation and allocating his resources to altern</w:t>
      </w:r>
      <w:r w:rsidR="004E2296">
        <w:rPr>
          <w:rFonts w:ascii="Times New Roman" w:hAnsi="Times New Roman" w:cs="Times New Roman"/>
        </w:rPr>
        <w:t>ative uses will make him better off</w:t>
      </w:r>
      <w:r w:rsidR="00C94666">
        <w:rPr>
          <w:rFonts w:ascii="Times New Roman" w:hAnsi="Times New Roman" w:cs="Times New Roman"/>
        </w:rPr>
        <w:t xml:space="preserve"> than performing his obligation.</w:t>
      </w:r>
      <w:r w:rsidR="006A6915">
        <w:rPr>
          <w:rFonts w:ascii="Times New Roman" w:hAnsi="Times New Roman" w:cs="Times New Roman"/>
        </w:rPr>
        <w:t>”</w:t>
      </w:r>
      <w:r w:rsidR="00F13272">
        <w:rPr>
          <w:rStyle w:val="FootnoteReference"/>
          <w:rFonts w:ascii="Times New Roman" w:hAnsi="Times New Roman"/>
        </w:rPr>
        <w:footnoteReference w:id="15"/>
      </w:r>
      <w:r w:rsidR="00C94666">
        <w:rPr>
          <w:rFonts w:ascii="Times New Roman" w:hAnsi="Times New Roman" w:cs="Times New Roman"/>
        </w:rPr>
        <w:t xml:space="preserve"> </w:t>
      </w:r>
      <w:r w:rsidR="00CA4C81">
        <w:rPr>
          <w:rFonts w:ascii="Times New Roman" w:hAnsi="Times New Roman" w:cs="Times New Roman"/>
        </w:rPr>
        <w:t xml:space="preserve"> It was a nice try, but</w:t>
      </w:r>
      <w:r w:rsidR="007D3021">
        <w:rPr>
          <w:rFonts w:ascii="Times New Roman" w:hAnsi="Times New Roman" w:cs="Times New Roman"/>
        </w:rPr>
        <w:t>, in fact,</w:t>
      </w:r>
      <w:r w:rsidR="00CA4C81">
        <w:rPr>
          <w:rFonts w:ascii="Times New Roman" w:hAnsi="Times New Roman" w:cs="Times New Roman"/>
        </w:rPr>
        <w:t xml:space="preserve"> it d</w:t>
      </w:r>
      <w:r w:rsidR="00B36BE6">
        <w:rPr>
          <w:rFonts w:ascii="Times New Roman" w:hAnsi="Times New Roman" w:cs="Times New Roman"/>
        </w:rPr>
        <w:t>oesn’t fit the data.  T</w:t>
      </w:r>
      <w:r w:rsidR="0092189E">
        <w:rPr>
          <w:rFonts w:ascii="Times New Roman" w:hAnsi="Times New Roman" w:cs="Times New Roman"/>
        </w:rPr>
        <w:t xml:space="preserve">here are </w:t>
      </w:r>
      <w:r w:rsidR="0021385D">
        <w:rPr>
          <w:rFonts w:ascii="Times New Roman" w:hAnsi="Times New Roman" w:cs="Times New Roman"/>
        </w:rPr>
        <w:t>very few</w:t>
      </w:r>
      <w:r w:rsidR="0092189E">
        <w:rPr>
          <w:rFonts w:ascii="Times New Roman" w:hAnsi="Times New Roman" w:cs="Times New Roman"/>
        </w:rPr>
        <w:t xml:space="preserve"> examples of</w:t>
      </w:r>
      <w:r w:rsidR="00D668B4">
        <w:rPr>
          <w:rFonts w:ascii="Times New Roman" w:hAnsi="Times New Roman" w:cs="Times New Roman"/>
        </w:rPr>
        <w:t xml:space="preserve"> </w:t>
      </w:r>
      <w:r w:rsidR="00555473">
        <w:rPr>
          <w:rFonts w:ascii="Times New Roman" w:hAnsi="Times New Roman" w:cs="Times New Roman"/>
        </w:rPr>
        <w:t xml:space="preserve">an </w:t>
      </w:r>
      <w:r w:rsidR="00D668B4">
        <w:rPr>
          <w:rFonts w:ascii="Times New Roman" w:hAnsi="Times New Roman" w:cs="Times New Roman"/>
        </w:rPr>
        <w:t xml:space="preserve">efficient breach in </w:t>
      </w:r>
      <w:r w:rsidR="00555473">
        <w:rPr>
          <w:rFonts w:ascii="Times New Roman" w:hAnsi="Times New Roman" w:cs="Times New Roman"/>
        </w:rPr>
        <w:t xml:space="preserve">which </w:t>
      </w:r>
      <w:r w:rsidR="00CA4C81">
        <w:rPr>
          <w:rFonts w:ascii="Times New Roman" w:hAnsi="Times New Roman" w:cs="Times New Roman"/>
        </w:rPr>
        <w:t>one party choos</w:t>
      </w:r>
      <w:r w:rsidR="00555473">
        <w:rPr>
          <w:rFonts w:ascii="Times New Roman" w:hAnsi="Times New Roman" w:cs="Times New Roman"/>
        </w:rPr>
        <w:t>es</w:t>
      </w:r>
      <w:r w:rsidR="00797AAC">
        <w:rPr>
          <w:rFonts w:ascii="Times New Roman" w:hAnsi="Times New Roman" w:cs="Times New Roman"/>
        </w:rPr>
        <w:t xml:space="preserve"> between </w:t>
      </w:r>
      <w:r w:rsidR="00D668B4">
        <w:rPr>
          <w:rFonts w:ascii="Times New Roman" w:hAnsi="Times New Roman" w:cs="Times New Roman"/>
        </w:rPr>
        <w:t>perform</w:t>
      </w:r>
      <w:r w:rsidR="00797AAC">
        <w:rPr>
          <w:rFonts w:ascii="Times New Roman" w:hAnsi="Times New Roman" w:cs="Times New Roman"/>
        </w:rPr>
        <w:t>ance</w:t>
      </w:r>
      <w:r w:rsidR="00D668B4">
        <w:rPr>
          <w:rFonts w:ascii="Times New Roman" w:hAnsi="Times New Roman" w:cs="Times New Roman"/>
        </w:rPr>
        <w:t xml:space="preserve"> </w:t>
      </w:r>
      <w:r w:rsidR="009114F5">
        <w:rPr>
          <w:rFonts w:ascii="Times New Roman" w:hAnsi="Times New Roman" w:cs="Times New Roman"/>
        </w:rPr>
        <w:t>and</w:t>
      </w:r>
      <w:r w:rsidR="00D668B4">
        <w:rPr>
          <w:rFonts w:ascii="Times New Roman" w:hAnsi="Times New Roman" w:cs="Times New Roman"/>
        </w:rPr>
        <w:t xml:space="preserve"> </w:t>
      </w:r>
      <w:r w:rsidR="00797AAC">
        <w:rPr>
          <w:rFonts w:ascii="Times New Roman" w:hAnsi="Times New Roman" w:cs="Times New Roman"/>
        </w:rPr>
        <w:t xml:space="preserve">the payment of </w:t>
      </w:r>
      <w:r w:rsidR="0092189E">
        <w:rPr>
          <w:rFonts w:ascii="Times New Roman" w:hAnsi="Times New Roman" w:cs="Times New Roman"/>
        </w:rPr>
        <w:t xml:space="preserve">expectation damages </w:t>
      </w:r>
      <w:r w:rsidR="00CA4C81">
        <w:rPr>
          <w:rFonts w:ascii="Times New Roman" w:hAnsi="Times New Roman" w:cs="Times New Roman"/>
        </w:rPr>
        <w:t>t</w:t>
      </w:r>
      <w:r w:rsidR="00B36BE6">
        <w:rPr>
          <w:rFonts w:ascii="Times New Roman" w:hAnsi="Times New Roman" w:cs="Times New Roman"/>
        </w:rPr>
        <w:t>hat are</w:t>
      </w:r>
      <w:r w:rsidR="00CA4C81">
        <w:rPr>
          <w:rFonts w:ascii="Times New Roman" w:hAnsi="Times New Roman" w:cs="Times New Roman"/>
        </w:rPr>
        <w:t xml:space="preserve"> subsequently </w:t>
      </w:r>
      <w:r w:rsidR="0092189E">
        <w:rPr>
          <w:rFonts w:ascii="Times New Roman" w:hAnsi="Times New Roman" w:cs="Times New Roman"/>
        </w:rPr>
        <w:t>assessed by a court.</w:t>
      </w:r>
      <w:r w:rsidR="00D668B4">
        <w:rPr>
          <w:rFonts w:ascii="Times New Roman" w:hAnsi="Times New Roman" w:cs="Times New Roman"/>
        </w:rPr>
        <w:t xml:space="preserve"> </w:t>
      </w:r>
      <w:r w:rsidR="0092189E">
        <w:rPr>
          <w:rFonts w:ascii="Times New Roman" w:hAnsi="Times New Roman" w:cs="Times New Roman"/>
        </w:rPr>
        <w:t xml:space="preserve"> In truth, efficient breach is both a null set </w:t>
      </w:r>
      <w:r w:rsidR="00CA4C81">
        <w:rPr>
          <w:rFonts w:ascii="Times New Roman" w:hAnsi="Times New Roman" w:cs="Times New Roman"/>
        </w:rPr>
        <w:t xml:space="preserve">as well as </w:t>
      </w:r>
      <w:r w:rsidR="0092189E">
        <w:rPr>
          <w:rFonts w:ascii="Times New Roman" w:hAnsi="Times New Roman" w:cs="Times New Roman"/>
        </w:rPr>
        <w:t>an oxymoron.</w:t>
      </w:r>
      <w:r w:rsidR="00424F87">
        <w:rPr>
          <w:rFonts w:ascii="Times New Roman" w:hAnsi="Times New Roman" w:cs="Times New Roman"/>
        </w:rPr>
        <w:t xml:space="preserve"> So, while</w:t>
      </w:r>
      <w:r w:rsidR="0092189E">
        <w:rPr>
          <w:rFonts w:ascii="Times New Roman" w:hAnsi="Times New Roman" w:cs="Times New Roman"/>
        </w:rPr>
        <w:t xml:space="preserve"> we meant well, Goetz and I are</w:t>
      </w:r>
      <w:r w:rsidR="00424F87">
        <w:rPr>
          <w:rFonts w:ascii="Times New Roman" w:hAnsi="Times New Roman" w:cs="Times New Roman"/>
        </w:rPr>
        <w:t xml:space="preserve"> pro</w:t>
      </w:r>
      <w:r w:rsidR="008C4A0E">
        <w:rPr>
          <w:rFonts w:ascii="Times New Roman" w:hAnsi="Times New Roman" w:cs="Times New Roman"/>
        </w:rPr>
        <w:t>b</w:t>
      </w:r>
      <w:r w:rsidR="00424F87">
        <w:rPr>
          <w:rFonts w:ascii="Times New Roman" w:hAnsi="Times New Roman" w:cs="Times New Roman"/>
        </w:rPr>
        <w:t xml:space="preserve">ably primarily responsible for leading a generation of scholars down the </w:t>
      </w:r>
      <w:r w:rsidR="0016734C">
        <w:rPr>
          <w:rFonts w:ascii="Times New Roman" w:hAnsi="Times New Roman" w:cs="Times New Roman"/>
        </w:rPr>
        <w:t xml:space="preserve">wrong </w:t>
      </w:r>
      <w:r w:rsidR="00424F87">
        <w:rPr>
          <w:rFonts w:ascii="Times New Roman" w:hAnsi="Times New Roman" w:cs="Times New Roman"/>
        </w:rPr>
        <w:t>gard</w:t>
      </w:r>
      <w:r w:rsidR="008C4A0E">
        <w:rPr>
          <w:rFonts w:ascii="Times New Roman" w:hAnsi="Times New Roman" w:cs="Times New Roman"/>
        </w:rPr>
        <w:t>en path.</w:t>
      </w:r>
      <w:r w:rsidR="00F13FAD">
        <w:rPr>
          <w:rStyle w:val="FootnoteReference"/>
          <w:rFonts w:ascii="Times New Roman" w:hAnsi="Times New Roman"/>
        </w:rPr>
        <w:footnoteReference w:id="16"/>
      </w:r>
      <w:r w:rsidR="008C4A0E">
        <w:rPr>
          <w:rFonts w:ascii="Times New Roman" w:hAnsi="Times New Roman" w:cs="Times New Roman"/>
        </w:rPr>
        <w:t xml:space="preserve"> </w:t>
      </w:r>
    </w:p>
    <w:p w14:paraId="480C2F76" w14:textId="77777777" w:rsidR="00C05811" w:rsidRDefault="00C05811" w:rsidP="00A73B1F">
      <w:pPr>
        <w:spacing w:line="360" w:lineRule="auto"/>
        <w:ind w:firstLine="720"/>
        <w:rPr>
          <w:rFonts w:ascii="Times New Roman" w:hAnsi="Times New Roman" w:cs="Times New Roman"/>
        </w:rPr>
      </w:pPr>
    </w:p>
    <w:p w14:paraId="1685AC45" w14:textId="016D608F" w:rsidR="008C4A0E" w:rsidRDefault="0021385D" w:rsidP="00A73B1F">
      <w:pPr>
        <w:spacing w:line="360" w:lineRule="auto"/>
        <w:ind w:firstLine="720"/>
        <w:rPr>
          <w:rFonts w:ascii="Times New Roman" w:hAnsi="Times New Roman" w:cs="Times New Roman"/>
        </w:rPr>
      </w:pPr>
      <w:r>
        <w:rPr>
          <w:rFonts w:ascii="Times New Roman" w:hAnsi="Times New Roman" w:cs="Times New Roman"/>
        </w:rPr>
        <w:lastRenderedPageBreak/>
        <w:t>Does this</w:t>
      </w:r>
      <w:r w:rsidR="00424F87">
        <w:rPr>
          <w:rFonts w:ascii="Times New Roman" w:hAnsi="Times New Roman" w:cs="Times New Roman"/>
        </w:rPr>
        <w:t xml:space="preserve"> mean </w:t>
      </w:r>
      <w:r w:rsidR="00CA4C81">
        <w:rPr>
          <w:rFonts w:ascii="Times New Roman" w:hAnsi="Times New Roman" w:cs="Times New Roman"/>
        </w:rPr>
        <w:t>that the data show there</w:t>
      </w:r>
      <w:r w:rsidR="00424F87">
        <w:rPr>
          <w:rFonts w:ascii="Times New Roman" w:hAnsi="Times New Roman" w:cs="Times New Roman"/>
        </w:rPr>
        <w:t xml:space="preserve"> is </w:t>
      </w:r>
      <w:r w:rsidR="008C4A0E">
        <w:rPr>
          <w:rFonts w:ascii="Times New Roman" w:hAnsi="Times New Roman" w:cs="Times New Roman"/>
        </w:rPr>
        <w:t>no such thing as an advertent breach, in the sense of a conscious breaking of a promise to perform?</w:t>
      </w:r>
      <w:r>
        <w:rPr>
          <w:rFonts w:ascii="Times New Roman" w:hAnsi="Times New Roman" w:cs="Times New Roman"/>
        </w:rPr>
        <w:t xml:space="preserve"> </w:t>
      </w:r>
      <w:r w:rsidR="007D3021">
        <w:rPr>
          <w:rFonts w:ascii="Times New Roman" w:hAnsi="Times New Roman" w:cs="Times New Roman"/>
        </w:rPr>
        <w:t xml:space="preserve"> Not at all</w:t>
      </w:r>
      <w:r w:rsidR="00555473">
        <w:rPr>
          <w:rFonts w:ascii="Times New Roman" w:hAnsi="Times New Roman" w:cs="Times New Roman"/>
        </w:rPr>
        <w:t>!</w:t>
      </w:r>
      <w:r w:rsidR="00CA4C81">
        <w:rPr>
          <w:rFonts w:ascii="Times New Roman" w:hAnsi="Times New Roman" w:cs="Times New Roman"/>
        </w:rPr>
        <w:t xml:space="preserve"> </w:t>
      </w:r>
      <w:r>
        <w:rPr>
          <w:rFonts w:ascii="Times New Roman" w:hAnsi="Times New Roman" w:cs="Times New Roman"/>
        </w:rPr>
        <w:t>There are literally hundreds of cases</w:t>
      </w:r>
      <w:r w:rsidR="008C4A0E">
        <w:rPr>
          <w:rFonts w:ascii="Times New Roman" w:hAnsi="Times New Roman" w:cs="Times New Roman"/>
        </w:rPr>
        <w:t xml:space="preserve"> where parties have been found </w:t>
      </w:r>
      <w:r w:rsidR="00535C0D">
        <w:rPr>
          <w:rFonts w:ascii="Times New Roman" w:hAnsi="Times New Roman" w:cs="Times New Roman"/>
        </w:rPr>
        <w:t xml:space="preserve">by </w:t>
      </w:r>
      <w:r>
        <w:rPr>
          <w:rFonts w:ascii="Times New Roman" w:hAnsi="Times New Roman" w:cs="Times New Roman"/>
        </w:rPr>
        <w:t>a</w:t>
      </w:r>
      <w:r w:rsidR="00535C0D">
        <w:rPr>
          <w:rFonts w:ascii="Times New Roman" w:hAnsi="Times New Roman" w:cs="Times New Roman"/>
        </w:rPr>
        <w:t xml:space="preserve"> court </w:t>
      </w:r>
      <w:r w:rsidR="008C4A0E">
        <w:rPr>
          <w:rFonts w:ascii="Times New Roman" w:hAnsi="Times New Roman" w:cs="Times New Roman"/>
        </w:rPr>
        <w:t xml:space="preserve">to </w:t>
      </w:r>
      <w:r w:rsidR="00535C0D">
        <w:rPr>
          <w:rFonts w:ascii="Times New Roman" w:hAnsi="Times New Roman" w:cs="Times New Roman"/>
        </w:rPr>
        <w:t xml:space="preserve">have consciously </w:t>
      </w:r>
      <w:r w:rsidR="008C4A0E">
        <w:rPr>
          <w:rFonts w:ascii="Times New Roman" w:hAnsi="Times New Roman" w:cs="Times New Roman"/>
        </w:rPr>
        <w:t>breach</w:t>
      </w:r>
      <w:r w:rsidR="00535C0D">
        <w:rPr>
          <w:rFonts w:ascii="Times New Roman" w:hAnsi="Times New Roman" w:cs="Times New Roman"/>
        </w:rPr>
        <w:t>ed</w:t>
      </w:r>
      <w:r w:rsidR="0016734C">
        <w:rPr>
          <w:rFonts w:ascii="Times New Roman" w:hAnsi="Times New Roman" w:cs="Times New Roman"/>
        </w:rPr>
        <w:t xml:space="preserve"> their obligations under the contract</w:t>
      </w:r>
      <w:r w:rsidR="00535C0D">
        <w:rPr>
          <w:rFonts w:ascii="Times New Roman" w:hAnsi="Times New Roman" w:cs="Times New Roman"/>
        </w:rPr>
        <w:t xml:space="preserve">. </w:t>
      </w:r>
      <w:r w:rsidR="008C4A0E">
        <w:rPr>
          <w:rFonts w:ascii="Times New Roman" w:hAnsi="Times New Roman" w:cs="Times New Roman"/>
        </w:rPr>
        <w:t xml:space="preserve"> The interesting thing about these cases, however, is that “breach” is not </w:t>
      </w:r>
      <w:r w:rsidR="00535C0D">
        <w:rPr>
          <w:rFonts w:ascii="Times New Roman" w:hAnsi="Times New Roman" w:cs="Times New Roman"/>
        </w:rPr>
        <w:t xml:space="preserve">the </w:t>
      </w:r>
      <w:r w:rsidR="0016734C">
        <w:rPr>
          <w:rFonts w:ascii="Times New Roman" w:hAnsi="Times New Roman" w:cs="Times New Roman"/>
        </w:rPr>
        <w:t xml:space="preserve">result </w:t>
      </w:r>
      <w:r w:rsidR="00535C0D">
        <w:rPr>
          <w:rFonts w:ascii="Times New Roman" w:hAnsi="Times New Roman" w:cs="Times New Roman"/>
        </w:rPr>
        <w:t xml:space="preserve">of </w:t>
      </w:r>
      <w:r w:rsidR="008C4A0E">
        <w:rPr>
          <w:rFonts w:ascii="Times New Roman" w:hAnsi="Times New Roman" w:cs="Times New Roman"/>
        </w:rPr>
        <w:t>a</w:t>
      </w:r>
      <w:r w:rsidR="0016734C">
        <w:rPr>
          <w:rFonts w:ascii="Times New Roman" w:hAnsi="Times New Roman" w:cs="Times New Roman"/>
        </w:rPr>
        <w:t xml:space="preserve"> ratio</w:t>
      </w:r>
      <w:r w:rsidR="008C4A0E">
        <w:rPr>
          <w:rFonts w:ascii="Times New Roman" w:hAnsi="Times New Roman" w:cs="Times New Roman"/>
        </w:rPr>
        <w:t>n</w:t>
      </w:r>
      <w:r w:rsidR="00DE360F">
        <w:rPr>
          <w:rFonts w:ascii="Times New Roman" w:hAnsi="Times New Roman" w:cs="Times New Roman"/>
        </w:rPr>
        <w:t>al choice</w:t>
      </w:r>
      <w:r w:rsidR="006D3A2E">
        <w:rPr>
          <w:rFonts w:ascii="Times New Roman" w:hAnsi="Times New Roman" w:cs="Times New Roman"/>
        </w:rPr>
        <w:t xml:space="preserve"> between the alternatives of </w:t>
      </w:r>
      <w:r w:rsidR="00F13272">
        <w:rPr>
          <w:rFonts w:ascii="Times New Roman" w:hAnsi="Times New Roman" w:cs="Times New Roman"/>
        </w:rPr>
        <w:t xml:space="preserve">undertaking </w:t>
      </w:r>
      <w:r w:rsidR="006D3A2E">
        <w:rPr>
          <w:rFonts w:ascii="Times New Roman" w:hAnsi="Times New Roman" w:cs="Times New Roman"/>
        </w:rPr>
        <w:t xml:space="preserve">a performance that costs more than it is worth or paying equally costly compensatory damages. </w:t>
      </w:r>
      <w:r w:rsidR="008C4A0E">
        <w:rPr>
          <w:rFonts w:ascii="Times New Roman" w:hAnsi="Times New Roman" w:cs="Times New Roman"/>
        </w:rPr>
        <w:t xml:space="preserve"> Rather</w:t>
      </w:r>
      <w:r w:rsidR="00DE360F">
        <w:rPr>
          <w:rFonts w:ascii="Times New Roman" w:hAnsi="Times New Roman" w:cs="Times New Roman"/>
        </w:rPr>
        <w:t>,</w:t>
      </w:r>
      <w:r w:rsidR="008C4A0E">
        <w:rPr>
          <w:rFonts w:ascii="Times New Roman" w:hAnsi="Times New Roman" w:cs="Times New Roman"/>
        </w:rPr>
        <w:t xml:space="preserve"> it is a</w:t>
      </w:r>
      <w:r w:rsidR="00CA4C81">
        <w:rPr>
          <w:rFonts w:ascii="Times New Roman" w:hAnsi="Times New Roman" w:cs="Times New Roman"/>
        </w:rPr>
        <w:t xml:space="preserve"> conclusion</w:t>
      </w:r>
      <w:r w:rsidR="00DE360F">
        <w:rPr>
          <w:rFonts w:ascii="Times New Roman" w:hAnsi="Times New Roman" w:cs="Times New Roman"/>
        </w:rPr>
        <w:t xml:space="preserve"> </w:t>
      </w:r>
      <w:r w:rsidR="00F13272">
        <w:rPr>
          <w:rFonts w:ascii="Times New Roman" w:hAnsi="Times New Roman" w:cs="Times New Roman"/>
        </w:rPr>
        <w:t xml:space="preserve">reached </w:t>
      </w:r>
      <w:r w:rsidR="008C4A0E">
        <w:rPr>
          <w:rFonts w:ascii="Times New Roman" w:hAnsi="Times New Roman" w:cs="Times New Roman"/>
        </w:rPr>
        <w:t xml:space="preserve">by </w:t>
      </w:r>
      <w:r w:rsidR="00DE360F">
        <w:rPr>
          <w:rFonts w:ascii="Times New Roman" w:hAnsi="Times New Roman" w:cs="Times New Roman"/>
        </w:rPr>
        <w:t>a</w:t>
      </w:r>
      <w:r w:rsidR="008C4A0E">
        <w:rPr>
          <w:rFonts w:ascii="Times New Roman" w:hAnsi="Times New Roman" w:cs="Times New Roman"/>
        </w:rPr>
        <w:t xml:space="preserve"> court following a trial in which both parties insisted that the</w:t>
      </w:r>
      <w:r w:rsidR="00535C0D">
        <w:rPr>
          <w:rFonts w:ascii="Times New Roman" w:hAnsi="Times New Roman" w:cs="Times New Roman"/>
        </w:rPr>
        <w:t>ir</w:t>
      </w:r>
      <w:r w:rsidR="008C4A0E">
        <w:rPr>
          <w:rFonts w:ascii="Times New Roman" w:hAnsi="Times New Roman" w:cs="Times New Roman"/>
        </w:rPr>
        <w:t xml:space="preserve"> behavior was </w:t>
      </w:r>
      <w:r>
        <w:rPr>
          <w:rFonts w:ascii="Times New Roman" w:hAnsi="Times New Roman" w:cs="Times New Roman"/>
        </w:rPr>
        <w:t xml:space="preserve">entirely </w:t>
      </w:r>
      <w:r w:rsidR="008C4A0E">
        <w:rPr>
          <w:rFonts w:ascii="Times New Roman" w:hAnsi="Times New Roman" w:cs="Times New Roman"/>
        </w:rPr>
        <w:t xml:space="preserve">proper under the contract.  </w:t>
      </w:r>
      <w:r w:rsidR="00B86851">
        <w:rPr>
          <w:rFonts w:ascii="Times New Roman" w:hAnsi="Times New Roman" w:cs="Times New Roman"/>
        </w:rPr>
        <w:t>So, w</w:t>
      </w:r>
      <w:r>
        <w:rPr>
          <w:rFonts w:ascii="Times New Roman" w:hAnsi="Times New Roman" w:cs="Times New Roman"/>
        </w:rPr>
        <w:t>hat</w:t>
      </w:r>
      <w:r w:rsidR="007D3021">
        <w:rPr>
          <w:rFonts w:ascii="Times New Roman" w:hAnsi="Times New Roman" w:cs="Times New Roman"/>
        </w:rPr>
        <w:t xml:space="preserve"> is</w:t>
      </w:r>
      <w:r>
        <w:rPr>
          <w:rFonts w:ascii="Times New Roman" w:hAnsi="Times New Roman" w:cs="Times New Roman"/>
        </w:rPr>
        <w:t xml:space="preserve"> going on here?</w:t>
      </w:r>
    </w:p>
    <w:p w14:paraId="212E83D9" w14:textId="77777777" w:rsidR="008C4A0E" w:rsidRDefault="008C4A0E" w:rsidP="00A73B1F">
      <w:pPr>
        <w:spacing w:line="360" w:lineRule="auto"/>
        <w:ind w:firstLine="720"/>
        <w:rPr>
          <w:rFonts w:ascii="Times New Roman" w:hAnsi="Times New Roman" w:cs="Times New Roman"/>
        </w:rPr>
      </w:pPr>
    </w:p>
    <w:p w14:paraId="6C505593" w14:textId="63B8DDA5" w:rsidR="00540044" w:rsidRDefault="00540044" w:rsidP="0087487E">
      <w:pPr>
        <w:spacing w:line="360" w:lineRule="auto"/>
        <w:ind w:firstLine="720"/>
        <w:rPr>
          <w:rFonts w:ascii="Times New Roman" w:hAnsi="Times New Roman" w:cs="Times New Roman"/>
        </w:rPr>
      </w:pPr>
      <w:r>
        <w:rPr>
          <w:rFonts w:ascii="Times New Roman" w:hAnsi="Times New Roman" w:cs="Times New Roman"/>
        </w:rPr>
        <w:t>One possibility is that one of the parties-</w:t>
      </w:r>
      <w:r w:rsidR="00B86851">
        <w:rPr>
          <w:rFonts w:ascii="Times New Roman" w:hAnsi="Times New Roman" w:cs="Times New Roman"/>
        </w:rPr>
        <w:t>-</w:t>
      </w:r>
      <w:r>
        <w:rPr>
          <w:rFonts w:ascii="Times New Roman" w:hAnsi="Times New Roman" w:cs="Times New Roman"/>
        </w:rPr>
        <w:t xml:space="preserve"> let’s call him “the </w:t>
      </w:r>
      <w:proofErr w:type="spellStart"/>
      <w:r>
        <w:rPr>
          <w:rFonts w:ascii="Times New Roman" w:hAnsi="Times New Roman" w:cs="Times New Roman"/>
        </w:rPr>
        <w:t>doofus</w:t>
      </w:r>
      <w:proofErr w:type="spellEnd"/>
      <w:r>
        <w:rPr>
          <w:rFonts w:ascii="Times New Roman" w:hAnsi="Times New Roman" w:cs="Times New Roman"/>
        </w:rPr>
        <w:t>”-</w:t>
      </w:r>
      <w:r w:rsidR="00B86851">
        <w:rPr>
          <w:rFonts w:ascii="Times New Roman" w:hAnsi="Times New Roman" w:cs="Times New Roman"/>
        </w:rPr>
        <w:t>-</w:t>
      </w:r>
      <w:r>
        <w:rPr>
          <w:rFonts w:ascii="Times New Roman" w:hAnsi="Times New Roman" w:cs="Times New Roman"/>
        </w:rPr>
        <w:t xml:space="preserve"> is simply miscalculating what </w:t>
      </w:r>
      <w:r w:rsidR="00B86851">
        <w:rPr>
          <w:rFonts w:ascii="Times New Roman" w:hAnsi="Times New Roman" w:cs="Times New Roman"/>
        </w:rPr>
        <w:t xml:space="preserve">kind of </w:t>
      </w:r>
      <w:r>
        <w:rPr>
          <w:rFonts w:ascii="Times New Roman" w:hAnsi="Times New Roman" w:cs="Times New Roman"/>
        </w:rPr>
        <w:t xml:space="preserve">performance the contract requires. </w:t>
      </w:r>
      <w:r w:rsidR="00F13272">
        <w:rPr>
          <w:rFonts w:ascii="Times New Roman" w:hAnsi="Times New Roman" w:cs="Times New Roman"/>
        </w:rPr>
        <w:t xml:space="preserve">If that is so, then the breach is merely inadvertent, the product of a mistaken judgment and thus no different from any other error that prevents a party from performing as promised.  </w:t>
      </w:r>
      <w:r>
        <w:rPr>
          <w:rFonts w:ascii="Times New Roman" w:hAnsi="Times New Roman" w:cs="Times New Roman"/>
        </w:rPr>
        <w:t xml:space="preserve">A second </w:t>
      </w:r>
      <w:r w:rsidR="006943D9">
        <w:rPr>
          <w:rFonts w:ascii="Times New Roman" w:hAnsi="Times New Roman" w:cs="Times New Roman"/>
        </w:rPr>
        <w:t xml:space="preserve">–much more likely </w:t>
      </w:r>
      <w:r w:rsidR="00F13272">
        <w:rPr>
          <w:rFonts w:ascii="Times New Roman" w:hAnsi="Times New Roman" w:cs="Times New Roman"/>
        </w:rPr>
        <w:t>–</w:t>
      </w:r>
      <w:r>
        <w:rPr>
          <w:rFonts w:ascii="Times New Roman" w:hAnsi="Times New Roman" w:cs="Times New Roman"/>
        </w:rPr>
        <w:t>possibility</w:t>
      </w:r>
      <w:r w:rsidR="00F13272">
        <w:rPr>
          <w:rFonts w:ascii="Times New Roman" w:hAnsi="Times New Roman" w:cs="Times New Roman"/>
        </w:rPr>
        <w:t xml:space="preserve">, however, </w:t>
      </w:r>
      <w:r w:rsidR="0021385D">
        <w:rPr>
          <w:rFonts w:ascii="Times New Roman" w:hAnsi="Times New Roman" w:cs="Times New Roman"/>
        </w:rPr>
        <w:t xml:space="preserve">is that one of </w:t>
      </w:r>
      <w:r w:rsidR="00A048A4">
        <w:rPr>
          <w:rFonts w:ascii="Times New Roman" w:hAnsi="Times New Roman" w:cs="Times New Roman"/>
        </w:rPr>
        <w:t xml:space="preserve">the </w:t>
      </w:r>
      <w:r w:rsidR="001A10FA">
        <w:rPr>
          <w:rFonts w:ascii="Times New Roman" w:hAnsi="Times New Roman" w:cs="Times New Roman"/>
        </w:rPr>
        <w:t>parties is</w:t>
      </w:r>
      <w:r w:rsidR="00D124DA">
        <w:rPr>
          <w:rFonts w:ascii="Times New Roman" w:hAnsi="Times New Roman" w:cs="Times New Roman"/>
        </w:rPr>
        <w:t xml:space="preserve"> </w:t>
      </w:r>
      <w:r w:rsidR="0021385D">
        <w:rPr>
          <w:rFonts w:ascii="Times New Roman" w:hAnsi="Times New Roman" w:cs="Times New Roman"/>
        </w:rPr>
        <w:t>welching on the deal.</w:t>
      </w:r>
      <w:r w:rsidR="007B721E">
        <w:rPr>
          <w:rFonts w:ascii="Times New Roman" w:hAnsi="Times New Roman" w:cs="Times New Roman"/>
        </w:rPr>
        <w:t xml:space="preserve"> </w:t>
      </w:r>
      <w:r w:rsidR="00340FAC">
        <w:rPr>
          <w:rFonts w:ascii="Times New Roman" w:hAnsi="Times New Roman" w:cs="Times New Roman"/>
        </w:rPr>
        <w:t xml:space="preserve"> </w:t>
      </w:r>
      <w:r w:rsidR="00B86851">
        <w:rPr>
          <w:rFonts w:ascii="Times New Roman" w:hAnsi="Times New Roman" w:cs="Times New Roman"/>
        </w:rPr>
        <w:t xml:space="preserve">We might </w:t>
      </w:r>
      <w:r w:rsidR="00F13272">
        <w:rPr>
          <w:rFonts w:ascii="Times New Roman" w:hAnsi="Times New Roman" w:cs="Times New Roman"/>
        </w:rPr>
        <w:t xml:space="preserve">well </w:t>
      </w:r>
      <w:r w:rsidR="00B86851">
        <w:rPr>
          <w:rFonts w:ascii="Times New Roman" w:hAnsi="Times New Roman" w:cs="Times New Roman"/>
        </w:rPr>
        <w:t>be</w:t>
      </w:r>
      <w:r>
        <w:rPr>
          <w:rFonts w:ascii="Times New Roman" w:hAnsi="Times New Roman" w:cs="Times New Roman"/>
        </w:rPr>
        <w:t xml:space="preserve"> tempted to label this latter behavior as opportunism.  Indeed, </w:t>
      </w:r>
      <w:r w:rsidR="00BD3520">
        <w:rPr>
          <w:rFonts w:ascii="Times New Roman" w:hAnsi="Times New Roman" w:cs="Times New Roman"/>
        </w:rPr>
        <w:t xml:space="preserve">Ken </w:t>
      </w:r>
      <w:proofErr w:type="spellStart"/>
      <w:r w:rsidR="00BD3520">
        <w:rPr>
          <w:rFonts w:ascii="Times New Roman" w:hAnsi="Times New Roman" w:cs="Times New Roman"/>
        </w:rPr>
        <w:t>Ayotte</w:t>
      </w:r>
      <w:proofErr w:type="spellEnd"/>
      <w:r w:rsidR="00BD3520">
        <w:rPr>
          <w:rFonts w:ascii="Times New Roman" w:hAnsi="Times New Roman" w:cs="Times New Roman"/>
        </w:rPr>
        <w:t xml:space="preserve">, Ezra Friedman and Henry Smith </w:t>
      </w:r>
      <w:r>
        <w:rPr>
          <w:rFonts w:ascii="Times New Roman" w:hAnsi="Times New Roman" w:cs="Times New Roman"/>
        </w:rPr>
        <w:t xml:space="preserve">have recently argued that the risk of opportunistic breach is sufficiently acute that courts should </w:t>
      </w:r>
      <w:r w:rsidR="00B86851">
        <w:rPr>
          <w:rFonts w:ascii="Times New Roman" w:hAnsi="Times New Roman" w:cs="Times New Roman"/>
        </w:rPr>
        <w:t xml:space="preserve">zealously </w:t>
      </w:r>
      <w:r>
        <w:rPr>
          <w:rFonts w:ascii="Times New Roman" w:hAnsi="Times New Roman" w:cs="Times New Roman"/>
        </w:rPr>
        <w:t xml:space="preserve">police against opportunism by deploying </w:t>
      </w:r>
      <w:r w:rsidR="00D124DA">
        <w:rPr>
          <w:rFonts w:ascii="Times New Roman" w:hAnsi="Times New Roman" w:cs="Times New Roman"/>
        </w:rPr>
        <w:t xml:space="preserve">their </w:t>
      </w:r>
      <w:r w:rsidR="00A048A4">
        <w:rPr>
          <w:rFonts w:ascii="Times New Roman" w:hAnsi="Times New Roman" w:cs="Times New Roman"/>
        </w:rPr>
        <w:t>traditional equity power</w:t>
      </w:r>
      <w:r w:rsidR="00D124DA">
        <w:rPr>
          <w:rFonts w:ascii="Times New Roman" w:hAnsi="Times New Roman" w:cs="Times New Roman"/>
        </w:rPr>
        <w:t>s</w:t>
      </w:r>
      <w:r w:rsidR="00B86851">
        <w:rPr>
          <w:rFonts w:ascii="Times New Roman" w:hAnsi="Times New Roman" w:cs="Times New Roman"/>
        </w:rPr>
        <w:t xml:space="preserve"> to punish an</w:t>
      </w:r>
      <w:r w:rsidR="00A048A4">
        <w:rPr>
          <w:rFonts w:ascii="Times New Roman" w:hAnsi="Times New Roman" w:cs="Times New Roman"/>
        </w:rPr>
        <w:t xml:space="preserve"> opportunistic party</w:t>
      </w:r>
      <w:r>
        <w:rPr>
          <w:rFonts w:ascii="Times New Roman" w:hAnsi="Times New Roman" w:cs="Times New Roman"/>
        </w:rPr>
        <w:t xml:space="preserve"> even in t</w:t>
      </w:r>
      <w:r w:rsidR="00E108D7">
        <w:rPr>
          <w:rFonts w:ascii="Times New Roman" w:hAnsi="Times New Roman" w:cs="Times New Roman"/>
        </w:rPr>
        <w:t>he face of a fully integrated and unambiguous written contract</w:t>
      </w:r>
      <w:r>
        <w:rPr>
          <w:rFonts w:ascii="Times New Roman" w:hAnsi="Times New Roman" w:cs="Times New Roman"/>
        </w:rPr>
        <w:t>.</w:t>
      </w:r>
      <w:r w:rsidR="00F13272">
        <w:rPr>
          <w:rStyle w:val="FootnoteReference"/>
          <w:rFonts w:ascii="Times New Roman" w:hAnsi="Times New Roman"/>
        </w:rPr>
        <w:footnoteReference w:id="17"/>
      </w:r>
      <w:r>
        <w:rPr>
          <w:rFonts w:ascii="Times New Roman" w:hAnsi="Times New Roman" w:cs="Times New Roman"/>
        </w:rPr>
        <w:t xml:space="preserve">  They contend that this heightened ri</w:t>
      </w:r>
      <w:r w:rsidR="00A31D40">
        <w:rPr>
          <w:rFonts w:ascii="Times New Roman" w:hAnsi="Times New Roman" w:cs="Times New Roman"/>
        </w:rPr>
        <w:t>sk of opportunism undermines any</w:t>
      </w:r>
      <w:r>
        <w:rPr>
          <w:rFonts w:ascii="Times New Roman" w:hAnsi="Times New Roman" w:cs="Times New Roman"/>
        </w:rPr>
        <w:t xml:space="preserve"> arg</w:t>
      </w:r>
      <w:r w:rsidR="00E108D7">
        <w:rPr>
          <w:rFonts w:ascii="Times New Roman" w:hAnsi="Times New Roman" w:cs="Times New Roman"/>
        </w:rPr>
        <w:t>ument</w:t>
      </w:r>
      <w:r w:rsidR="007E5D40">
        <w:rPr>
          <w:rFonts w:ascii="Times New Roman" w:hAnsi="Times New Roman" w:cs="Times New Roman"/>
        </w:rPr>
        <w:t xml:space="preserve"> </w:t>
      </w:r>
      <w:r w:rsidR="00E108D7">
        <w:rPr>
          <w:rFonts w:ascii="Times New Roman" w:hAnsi="Times New Roman" w:cs="Times New Roman"/>
        </w:rPr>
        <w:t xml:space="preserve">that </w:t>
      </w:r>
      <w:r>
        <w:rPr>
          <w:rFonts w:ascii="Times New Roman" w:hAnsi="Times New Roman" w:cs="Times New Roman"/>
        </w:rPr>
        <w:t xml:space="preserve">sophisticated parties are better </w:t>
      </w:r>
      <w:r w:rsidR="00A31D40">
        <w:rPr>
          <w:rFonts w:ascii="Times New Roman" w:hAnsi="Times New Roman" w:cs="Times New Roman"/>
        </w:rPr>
        <w:t>equipped</w:t>
      </w:r>
      <w:r>
        <w:rPr>
          <w:rFonts w:ascii="Times New Roman" w:hAnsi="Times New Roman" w:cs="Times New Roman"/>
        </w:rPr>
        <w:t xml:space="preserve"> </w:t>
      </w:r>
      <w:r w:rsidR="00A048A4">
        <w:rPr>
          <w:rFonts w:ascii="Times New Roman" w:hAnsi="Times New Roman" w:cs="Times New Roman"/>
        </w:rPr>
        <w:t xml:space="preserve">to deal with </w:t>
      </w:r>
      <w:r w:rsidR="00652A56">
        <w:rPr>
          <w:rFonts w:ascii="Times New Roman" w:hAnsi="Times New Roman" w:cs="Times New Roman"/>
        </w:rPr>
        <w:t xml:space="preserve">the risk of </w:t>
      </w:r>
      <w:r w:rsidR="00A048A4">
        <w:rPr>
          <w:rFonts w:ascii="Times New Roman" w:hAnsi="Times New Roman" w:cs="Times New Roman"/>
        </w:rPr>
        <w:t>opportunism</w:t>
      </w:r>
      <w:r>
        <w:rPr>
          <w:rFonts w:ascii="Times New Roman" w:hAnsi="Times New Roman" w:cs="Times New Roman"/>
        </w:rPr>
        <w:t xml:space="preserve"> </w:t>
      </w:r>
      <w:r w:rsidR="0087487E">
        <w:rPr>
          <w:rFonts w:ascii="Times New Roman" w:hAnsi="Times New Roman" w:cs="Times New Roman"/>
        </w:rPr>
        <w:t xml:space="preserve">in advance </w:t>
      </w:r>
      <w:r>
        <w:rPr>
          <w:rFonts w:ascii="Times New Roman" w:hAnsi="Times New Roman" w:cs="Times New Roman"/>
        </w:rPr>
        <w:t>through rational contract design</w:t>
      </w:r>
      <w:r w:rsidR="00A31D40">
        <w:rPr>
          <w:rFonts w:ascii="Times New Roman" w:hAnsi="Times New Roman" w:cs="Times New Roman"/>
        </w:rPr>
        <w:t>.</w:t>
      </w:r>
      <w:r w:rsidR="00396262">
        <w:rPr>
          <w:rFonts w:ascii="Times New Roman" w:hAnsi="Times New Roman" w:cs="Times New Roman"/>
        </w:rPr>
        <w:t xml:space="preserve"> </w:t>
      </w:r>
      <w:r w:rsidR="00944B5C">
        <w:rPr>
          <w:rFonts w:ascii="Times New Roman" w:hAnsi="Times New Roman" w:cs="Times New Roman"/>
        </w:rPr>
        <w:t xml:space="preserve"> Contrary to the views of these scholars, </w:t>
      </w:r>
      <w:r>
        <w:rPr>
          <w:rFonts w:ascii="Times New Roman" w:hAnsi="Times New Roman" w:cs="Times New Roman"/>
        </w:rPr>
        <w:t xml:space="preserve">I </w:t>
      </w:r>
      <w:r w:rsidR="00D124DA">
        <w:rPr>
          <w:rFonts w:ascii="Times New Roman" w:hAnsi="Times New Roman" w:cs="Times New Roman"/>
        </w:rPr>
        <w:t>am go</w:t>
      </w:r>
      <w:r w:rsidR="001A10FA">
        <w:rPr>
          <w:rFonts w:ascii="Times New Roman" w:hAnsi="Times New Roman" w:cs="Times New Roman"/>
        </w:rPr>
        <w:t>i</w:t>
      </w:r>
      <w:r w:rsidR="00D124DA">
        <w:rPr>
          <w:rFonts w:ascii="Times New Roman" w:hAnsi="Times New Roman" w:cs="Times New Roman"/>
        </w:rPr>
        <w:t xml:space="preserve">ng to </w:t>
      </w:r>
      <w:r w:rsidR="00944B5C">
        <w:rPr>
          <w:rFonts w:ascii="Times New Roman" w:hAnsi="Times New Roman" w:cs="Times New Roman"/>
        </w:rPr>
        <w:t xml:space="preserve">defend the view that reliance on contract design is, in fact, the better approach.  My claim is </w:t>
      </w:r>
      <w:r>
        <w:rPr>
          <w:rFonts w:ascii="Times New Roman" w:hAnsi="Times New Roman" w:cs="Times New Roman"/>
        </w:rPr>
        <w:t xml:space="preserve">that what </w:t>
      </w:r>
      <w:r w:rsidR="007E5D40">
        <w:rPr>
          <w:rFonts w:ascii="Times New Roman" w:hAnsi="Times New Roman" w:cs="Times New Roman"/>
        </w:rPr>
        <w:t>the proponents of a re</w:t>
      </w:r>
      <w:r w:rsidR="00944B5C">
        <w:rPr>
          <w:rFonts w:ascii="Times New Roman" w:hAnsi="Times New Roman" w:cs="Times New Roman"/>
        </w:rPr>
        <w:t>turn to traditional equity believe</w:t>
      </w:r>
      <w:r w:rsidR="007E5D40">
        <w:rPr>
          <w:rFonts w:ascii="Times New Roman" w:hAnsi="Times New Roman" w:cs="Times New Roman"/>
        </w:rPr>
        <w:t xml:space="preserve"> can be </w:t>
      </w:r>
      <w:r>
        <w:rPr>
          <w:rFonts w:ascii="Times New Roman" w:hAnsi="Times New Roman" w:cs="Times New Roman"/>
        </w:rPr>
        <w:t xml:space="preserve">done </w:t>
      </w:r>
      <w:r w:rsidR="00944B5C">
        <w:rPr>
          <w:rFonts w:ascii="Times New Roman" w:hAnsi="Times New Roman" w:cs="Times New Roman"/>
        </w:rPr>
        <w:t>as a matter of</w:t>
      </w:r>
      <w:r>
        <w:rPr>
          <w:rFonts w:ascii="Times New Roman" w:hAnsi="Times New Roman" w:cs="Times New Roman"/>
        </w:rPr>
        <w:t xml:space="preserve"> theory, generalist courts, in fact, cannot do (at least not reliably).</w:t>
      </w:r>
    </w:p>
    <w:p w14:paraId="4337C54F" w14:textId="77777777" w:rsidR="006943D9" w:rsidRDefault="006943D9" w:rsidP="00540044">
      <w:pPr>
        <w:spacing w:line="360" w:lineRule="auto"/>
        <w:ind w:firstLine="720"/>
        <w:rPr>
          <w:rFonts w:ascii="Times New Roman" w:hAnsi="Times New Roman" w:cs="Times New Roman"/>
        </w:rPr>
      </w:pPr>
    </w:p>
    <w:p w14:paraId="6E4B3906" w14:textId="3505A356" w:rsidR="00540044" w:rsidRDefault="00E108D7" w:rsidP="00540044">
      <w:pPr>
        <w:spacing w:line="360" w:lineRule="auto"/>
        <w:ind w:firstLine="720"/>
        <w:rPr>
          <w:rFonts w:ascii="Times New Roman" w:hAnsi="Times New Roman" w:cs="Times New Roman"/>
        </w:rPr>
      </w:pPr>
      <w:r>
        <w:rPr>
          <w:rFonts w:ascii="Times New Roman" w:hAnsi="Times New Roman" w:cs="Times New Roman"/>
        </w:rPr>
        <w:lastRenderedPageBreak/>
        <w:t>Let’s b</w:t>
      </w:r>
      <w:r w:rsidR="00540044">
        <w:rPr>
          <w:rFonts w:ascii="Times New Roman" w:hAnsi="Times New Roman" w:cs="Times New Roman"/>
        </w:rPr>
        <w:t>egin with the con</w:t>
      </w:r>
      <w:r w:rsidR="00606877">
        <w:rPr>
          <w:rFonts w:ascii="Times New Roman" w:hAnsi="Times New Roman" w:cs="Times New Roman"/>
        </w:rPr>
        <w:t>cept of opportunism.  Oliver</w:t>
      </w:r>
      <w:r w:rsidR="00540044">
        <w:rPr>
          <w:rFonts w:ascii="Times New Roman" w:hAnsi="Times New Roman" w:cs="Times New Roman"/>
        </w:rPr>
        <w:t xml:space="preserve"> Williamson </w:t>
      </w:r>
      <w:r w:rsidR="00606877">
        <w:rPr>
          <w:rFonts w:ascii="Times New Roman" w:hAnsi="Times New Roman" w:cs="Times New Roman"/>
        </w:rPr>
        <w:t xml:space="preserve">famously </w:t>
      </w:r>
      <w:r w:rsidR="00540044">
        <w:rPr>
          <w:rFonts w:ascii="Times New Roman" w:hAnsi="Times New Roman" w:cs="Times New Roman"/>
        </w:rPr>
        <w:t>defined opportunism as “self-interest with guile.”</w:t>
      </w:r>
      <w:r w:rsidR="00862FBA">
        <w:rPr>
          <w:rStyle w:val="FootnoteReference"/>
          <w:rFonts w:ascii="Times New Roman" w:hAnsi="Times New Roman"/>
        </w:rPr>
        <w:footnoteReference w:id="18"/>
      </w:r>
      <w:r w:rsidR="00540044">
        <w:rPr>
          <w:rFonts w:ascii="Times New Roman" w:hAnsi="Times New Roman" w:cs="Times New Roman"/>
        </w:rPr>
        <w:t xml:space="preserve">  But that characterization isn’t quite right here: As it appears initially to the court, both of the </w:t>
      </w:r>
      <w:r w:rsidR="00862FBA">
        <w:rPr>
          <w:rFonts w:ascii="Times New Roman" w:hAnsi="Times New Roman" w:cs="Times New Roman"/>
        </w:rPr>
        <w:t xml:space="preserve">contracting </w:t>
      </w:r>
      <w:r w:rsidR="00540044">
        <w:rPr>
          <w:rFonts w:ascii="Times New Roman" w:hAnsi="Times New Roman" w:cs="Times New Roman"/>
        </w:rPr>
        <w:t xml:space="preserve">parties are guileless.  Thus, we need to sort the behavior of the honest but mistaken </w:t>
      </w:r>
      <w:proofErr w:type="spellStart"/>
      <w:r w:rsidR="00540044">
        <w:rPr>
          <w:rFonts w:ascii="Times New Roman" w:hAnsi="Times New Roman" w:cs="Times New Roman"/>
        </w:rPr>
        <w:t>breacher</w:t>
      </w:r>
      <w:proofErr w:type="spellEnd"/>
      <w:r w:rsidR="00540044">
        <w:rPr>
          <w:rFonts w:ascii="Times New Roman" w:hAnsi="Times New Roman" w:cs="Times New Roman"/>
        </w:rPr>
        <w:t xml:space="preserve"> </w:t>
      </w:r>
      <w:r w:rsidR="00862FBA">
        <w:rPr>
          <w:rFonts w:ascii="Times New Roman" w:hAnsi="Times New Roman" w:cs="Times New Roman"/>
        </w:rPr>
        <w:t>(who is not an opportunist to be sanctioned by a court using its equity powers) from behavior</w:t>
      </w:r>
      <w:r w:rsidR="00540044">
        <w:rPr>
          <w:rFonts w:ascii="Times New Roman" w:hAnsi="Times New Roman" w:cs="Times New Roman"/>
        </w:rPr>
        <w:t xml:space="preserve"> that</w:t>
      </w:r>
      <w:r w:rsidR="00606877">
        <w:rPr>
          <w:rFonts w:ascii="Times New Roman" w:hAnsi="Times New Roman" w:cs="Times New Roman"/>
        </w:rPr>
        <w:t xml:space="preserve"> is</w:t>
      </w:r>
      <w:r w:rsidR="00862FBA">
        <w:rPr>
          <w:rFonts w:ascii="Times New Roman" w:hAnsi="Times New Roman" w:cs="Times New Roman"/>
        </w:rPr>
        <w:t>, in fact,</w:t>
      </w:r>
      <w:r w:rsidR="00606877">
        <w:rPr>
          <w:rFonts w:ascii="Times New Roman" w:hAnsi="Times New Roman" w:cs="Times New Roman"/>
        </w:rPr>
        <w:t xml:space="preserve"> self-interested but appears</w:t>
      </w:r>
      <w:r w:rsidR="00862FBA">
        <w:rPr>
          <w:rFonts w:ascii="Times New Roman" w:hAnsi="Times New Roman" w:cs="Times New Roman"/>
        </w:rPr>
        <w:t xml:space="preserve"> completely</w:t>
      </w:r>
      <w:r w:rsidR="00540044">
        <w:rPr>
          <w:rFonts w:ascii="Times New Roman" w:hAnsi="Times New Roman" w:cs="Times New Roman"/>
        </w:rPr>
        <w:t xml:space="preserve"> guileless.  So, let’s call the </w:t>
      </w:r>
      <w:r w:rsidR="00862FBA">
        <w:rPr>
          <w:rFonts w:ascii="Times New Roman" w:hAnsi="Times New Roman" w:cs="Times New Roman"/>
        </w:rPr>
        <w:t xml:space="preserve">latter </w:t>
      </w:r>
      <w:r w:rsidR="00540044">
        <w:rPr>
          <w:rFonts w:ascii="Times New Roman" w:hAnsi="Times New Roman" w:cs="Times New Roman"/>
        </w:rPr>
        <w:t xml:space="preserve">behavior that I am describing “shading,” as in shading the truth.  My hypothesis is </w:t>
      </w:r>
      <w:r w:rsidR="001A10FA">
        <w:rPr>
          <w:rFonts w:ascii="Times New Roman" w:hAnsi="Times New Roman" w:cs="Times New Roman"/>
        </w:rPr>
        <w:t xml:space="preserve">that </w:t>
      </w:r>
      <w:r w:rsidR="008A1BB7">
        <w:rPr>
          <w:rFonts w:ascii="Times New Roman" w:hAnsi="Times New Roman" w:cs="Times New Roman"/>
        </w:rPr>
        <w:t xml:space="preserve">both the parties and the courts face a fundamental dilemma: </w:t>
      </w:r>
      <w:r w:rsidR="00E33269">
        <w:rPr>
          <w:rFonts w:ascii="Times New Roman" w:hAnsi="Times New Roman" w:cs="Times New Roman"/>
        </w:rPr>
        <w:t xml:space="preserve"> </w:t>
      </w:r>
      <w:r w:rsidR="008A1BB7">
        <w:rPr>
          <w:rFonts w:ascii="Times New Roman" w:hAnsi="Times New Roman" w:cs="Times New Roman"/>
        </w:rPr>
        <w:t xml:space="preserve">First, that </w:t>
      </w:r>
      <w:r w:rsidR="00540044">
        <w:rPr>
          <w:rFonts w:ascii="Times New Roman" w:hAnsi="Times New Roman" w:cs="Times New Roman"/>
        </w:rPr>
        <w:t>s</w:t>
      </w:r>
      <w:r w:rsidR="008A1BB7">
        <w:rPr>
          <w:rFonts w:ascii="Times New Roman" w:hAnsi="Times New Roman" w:cs="Times New Roman"/>
        </w:rPr>
        <w:t>hading behavior is ubiquitous</w:t>
      </w:r>
      <w:r w:rsidR="00540044">
        <w:rPr>
          <w:rFonts w:ascii="Times New Roman" w:hAnsi="Times New Roman" w:cs="Times New Roman"/>
        </w:rPr>
        <w:t xml:space="preserve"> </w:t>
      </w:r>
      <w:r w:rsidR="00B16462">
        <w:rPr>
          <w:rFonts w:ascii="Times New Roman" w:hAnsi="Times New Roman" w:cs="Times New Roman"/>
        </w:rPr>
        <w:t>and</w:t>
      </w:r>
      <w:r w:rsidR="008A1BB7">
        <w:rPr>
          <w:rFonts w:ascii="Times New Roman" w:hAnsi="Times New Roman" w:cs="Times New Roman"/>
        </w:rPr>
        <w:t>, second, that</w:t>
      </w:r>
      <w:r w:rsidR="00B16462">
        <w:rPr>
          <w:rFonts w:ascii="Times New Roman" w:hAnsi="Times New Roman" w:cs="Times New Roman"/>
        </w:rPr>
        <w:t xml:space="preserve"> it is nearly</w:t>
      </w:r>
      <w:r w:rsidR="00540044">
        <w:rPr>
          <w:rFonts w:ascii="Times New Roman" w:hAnsi="Times New Roman" w:cs="Times New Roman"/>
        </w:rPr>
        <w:t xml:space="preserve"> </w:t>
      </w:r>
      <w:r w:rsidR="00B16462">
        <w:rPr>
          <w:rFonts w:ascii="Times New Roman" w:hAnsi="Times New Roman" w:cs="Times New Roman"/>
        </w:rPr>
        <w:t>impossible for a court to sort out</w:t>
      </w:r>
      <w:r w:rsidR="00540044">
        <w:rPr>
          <w:rFonts w:ascii="Times New Roman" w:hAnsi="Times New Roman" w:cs="Times New Roman"/>
        </w:rPr>
        <w:t xml:space="preserve"> wh</w:t>
      </w:r>
      <w:r w:rsidR="008A1BB7">
        <w:rPr>
          <w:rFonts w:ascii="Times New Roman" w:hAnsi="Times New Roman" w:cs="Times New Roman"/>
        </w:rPr>
        <w:t xml:space="preserve">o is the </w:t>
      </w:r>
      <w:proofErr w:type="spellStart"/>
      <w:r w:rsidR="008A1BB7">
        <w:rPr>
          <w:rFonts w:ascii="Times New Roman" w:hAnsi="Times New Roman" w:cs="Times New Roman"/>
        </w:rPr>
        <w:t>doofus</w:t>
      </w:r>
      <w:proofErr w:type="spellEnd"/>
      <w:r w:rsidR="008A1BB7">
        <w:rPr>
          <w:rFonts w:ascii="Times New Roman" w:hAnsi="Times New Roman" w:cs="Times New Roman"/>
        </w:rPr>
        <w:t xml:space="preserve"> and who is the </w:t>
      </w:r>
      <w:proofErr w:type="spellStart"/>
      <w:r w:rsidR="00540044">
        <w:rPr>
          <w:rFonts w:ascii="Times New Roman" w:hAnsi="Times New Roman" w:cs="Times New Roman"/>
        </w:rPr>
        <w:t>shader</w:t>
      </w:r>
      <w:proofErr w:type="spellEnd"/>
      <w:r w:rsidR="008A1BB7">
        <w:rPr>
          <w:rFonts w:ascii="Times New Roman" w:hAnsi="Times New Roman" w:cs="Times New Roman"/>
        </w:rPr>
        <w:t xml:space="preserve">.  Let me </w:t>
      </w:r>
      <w:r w:rsidR="00BD3520">
        <w:rPr>
          <w:rFonts w:ascii="Times New Roman" w:hAnsi="Times New Roman" w:cs="Times New Roman"/>
        </w:rPr>
        <w:t xml:space="preserve">try </w:t>
      </w:r>
      <w:r w:rsidR="008A1BB7">
        <w:rPr>
          <w:rFonts w:ascii="Times New Roman" w:hAnsi="Times New Roman" w:cs="Times New Roman"/>
        </w:rPr>
        <w:t>to defend both of these propositions.</w:t>
      </w:r>
    </w:p>
    <w:p w14:paraId="56D77BD6" w14:textId="77777777" w:rsidR="00540044" w:rsidRDefault="00540044" w:rsidP="00540044">
      <w:pPr>
        <w:spacing w:line="360" w:lineRule="auto"/>
        <w:rPr>
          <w:rFonts w:ascii="Times New Roman" w:hAnsi="Times New Roman" w:cs="Times New Roman"/>
        </w:rPr>
      </w:pPr>
    </w:p>
    <w:p w14:paraId="44937640" w14:textId="140F275F" w:rsidR="008A1BB9" w:rsidRPr="00423360" w:rsidRDefault="008A1BB9" w:rsidP="008A1BB9">
      <w:pPr>
        <w:spacing w:line="360" w:lineRule="auto"/>
        <w:jc w:val="center"/>
        <w:rPr>
          <w:rFonts w:ascii="Times New Roman" w:hAnsi="Times New Roman" w:cs="Times New Roman"/>
          <w:b/>
          <w:bCs/>
          <w:smallCaps/>
        </w:rPr>
      </w:pPr>
      <w:r w:rsidRPr="00423360">
        <w:rPr>
          <w:rFonts w:ascii="Times New Roman" w:hAnsi="Times New Roman" w:cs="Times New Roman"/>
          <w:b/>
          <w:bCs/>
          <w:smallCaps/>
        </w:rPr>
        <w:t>II</w:t>
      </w:r>
      <w:proofErr w:type="gramStart"/>
      <w:r w:rsidRPr="00423360">
        <w:rPr>
          <w:rFonts w:ascii="Times New Roman" w:hAnsi="Times New Roman" w:cs="Times New Roman"/>
          <w:b/>
          <w:bCs/>
          <w:smallCaps/>
        </w:rPr>
        <w:t>.</w:t>
      </w:r>
      <w:r w:rsidR="00D07091" w:rsidRPr="00423360">
        <w:rPr>
          <w:rFonts w:ascii="Times New Roman" w:hAnsi="Times New Roman" w:cs="Times New Roman"/>
          <w:b/>
          <w:bCs/>
          <w:smallCaps/>
        </w:rPr>
        <w:t xml:space="preserve">  Why</w:t>
      </w:r>
      <w:proofErr w:type="gramEnd"/>
      <w:r w:rsidR="00D07091" w:rsidRPr="00423360">
        <w:rPr>
          <w:rFonts w:ascii="Times New Roman" w:hAnsi="Times New Roman" w:cs="Times New Roman"/>
          <w:b/>
          <w:bCs/>
          <w:smallCaps/>
        </w:rPr>
        <w:t xml:space="preserve"> is Shading Pervasive and Undetectable?</w:t>
      </w:r>
    </w:p>
    <w:p w14:paraId="7731D837" w14:textId="77777777" w:rsidR="008A1BB9" w:rsidRPr="008A1BB9" w:rsidRDefault="008A1BB9" w:rsidP="008A1BB9">
      <w:pPr>
        <w:spacing w:line="360" w:lineRule="auto"/>
        <w:jc w:val="center"/>
        <w:rPr>
          <w:rFonts w:ascii="Times New Roman" w:hAnsi="Times New Roman" w:cs="Times New Roman"/>
          <w:b/>
        </w:rPr>
      </w:pPr>
    </w:p>
    <w:p w14:paraId="23B6A6DF" w14:textId="7392BED7" w:rsidR="00540044" w:rsidRPr="007068A7" w:rsidRDefault="00AE3E73" w:rsidP="00540044">
      <w:pPr>
        <w:spacing w:line="360" w:lineRule="auto"/>
        <w:ind w:firstLine="720"/>
        <w:rPr>
          <w:rFonts w:ascii="Times New Roman" w:hAnsi="Times New Roman" w:cs="Times New Roman"/>
        </w:rPr>
      </w:pPr>
      <w:r>
        <w:rPr>
          <w:rFonts w:ascii="Times New Roman" w:hAnsi="Times New Roman" w:cs="Times New Roman"/>
        </w:rPr>
        <w:t xml:space="preserve"> </w:t>
      </w:r>
      <w:r w:rsidR="00B16462">
        <w:rPr>
          <w:rFonts w:ascii="Times New Roman" w:hAnsi="Times New Roman" w:cs="Times New Roman"/>
        </w:rPr>
        <w:t xml:space="preserve">Why </w:t>
      </w:r>
      <w:proofErr w:type="gramStart"/>
      <w:r w:rsidR="00B16462">
        <w:rPr>
          <w:rFonts w:ascii="Times New Roman" w:hAnsi="Times New Roman" w:cs="Times New Roman"/>
        </w:rPr>
        <w:t>is it</w:t>
      </w:r>
      <w:proofErr w:type="gramEnd"/>
      <w:r w:rsidR="00B16462">
        <w:rPr>
          <w:rFonts w:ascii="Times New Roman" w:hAnsi="Times New Roman" w:cs="Times New Roman"/>
        </w:rPr>
        <w:t xml:space="preserve"> that shading is so pervasive?  </w:t>
      </w:r>
      <w:r w:rsidR="00540044">
        <w:rPr>
          <w:rFonts w:ascii="Times New Roman" w:hAnsi="Times New Roman" w:cs="Times New Roman"/>
        </w:rPr>
        <w:t>There are several reasons</w:t>
      </w:r>
      <w:r w:rsidR="00B16462">
        <w:rPr>
          <w:rFonts w:ascii="Times New Roman" w:hAnsi="Times New Roman" w:cs="Times New Roman"/>
        </w:rPr>
        <w:t>, but most important is the fundamental fact that</w:t>
      </w:r>
      <w:r w:rsidR="008A1BB7">
        <w:rPr>
          <w:rFonts w:ascii="Times New Roman" w:hAnsi="Times New Roman" w:cs="Times New Roman"/>
        </w:rPr>
        <w:t xml:space="preserve"> </w:t>
      </w:r>
      <w:r w:rsidR="00396262">
        <w:rPr>
          <w:rFonts w:ascii="Times New Roman" w:hAnsi="Times New Roman" w:cs="Times New Roman"/>
        </w:rPr>
        <w:t xml:space="preserve">all contracts- even those </w:t>
      </w:r>
      <w:r w:rsidR="00B16462">
        <w:rPr>
          <w:rFonts w:ascii="Times New Roman" w:hAnsi="Times New Roman" w:cs="Times New Roman"/>
        </w:rPr>
        <w:t xml:space="preserve">carefully drafted </w:t>
      </w:r>
      <w:r w:rsidR="008A1BB7">
        <w:rPr>
          <w:rFonts w:ascii="Times New Roman" w:hAnsi="Times New Roman" w:cs="Times New Roman"/>
        </w:rPr>
        <w:t xml:space="preserve">in every detail </w:t>
      </w:r>
      <w:r w:rsidR="00540044">
        <w:rPr>
          <w:rFonts w:ascii="Times New Roman" w:hAnsi="Times New Roman" w:cs="Times New Roman"/>
        </w:rPr>
        <w:t xml:space="preserve">--must be interpreted.  Even if the interpretation is by a formalist court that </w:t>
      </w:r>
      <w:r w:rsidR="00396262">
        <w:rPr>
          <w:rFonts w:ascii="Times New Roman" w:hAnsi="Times New Roman" w:cs="Times New Roman"/>
        </w:rPr>
        <w:t xml:space="preserve">relies on the </w:t>
      </w:r>
      <w:proofErr w:type="spellStart"/>
      <w:r w:rsidR="00396262">
        <w:rPr>
          <w:rFonts w:ascii="Times New Roman" w:hAnsi="Times New Roman" w:cs="Times New Roman"/>
        </w:rPr>
        <w:t>parol</w:t>
      </w:r>
      <w:proofErr w:type="spellEnd"/>
      <w:r w:rsidR="00396262">
        <w:rPr>
          <w:rFonts w:ascii="Times New Roman" w:hAnsi="Times New Roman" w:cs="Times New Roman"/>
        </w:rPr>
        <w:t xml:space="preserve"> evidence rule to limit its inquiry to</w:t>
      </w:r>
      <w:r w:rsidR="00540044">
        <w:rPr>
          <w:rFonts w:ascii="Times New Roman" w:hAnsi="Times New Roman" w:cs="Times New Roman"/>
        </w:rPr>
        <w:t xml:space="preserve"> the text of the agreement </w:t>
      </w:r>
      <w:r w:rsidR="00737606">
        <w:rPr>
          <w:rFonts w:ascii="Times New Roman" w:hAnsi="Times New Roman" w:cs="Times New Roman"/>
        </w:rPr>
        <w:t>and its plain language, the</w:t>
      </w:r>
      <w:r w:rsidR="00540044">
        <w:rPr>
          <w:rFonts w:ascii="Times New Roman" w:hAnsi="Times New Roman" w:cs="Times New Roman"/>
        </w:rPr>
        <w:t xml:space="preserve"> court is still required to harmonize and make coherent a contract with over 100 individual provisions, each of which may be </w:t>
      </w:r>
      <w:r w:rsidR="00396262">
        <w:rPr>
          <w:rFonts w:ascii="Times New Roman" w:hAnsi="Times New Roman" w:cs="Times New Roman"/>
        </w:rPr>
        <w:t xml:space="preserve">unambiguous </w:t>
      </w:r>
      <w:r w:rsidR="00540044">
        <w:rPr>
          <w:rFonts w:ascii="Times New Roman" w:hAnsi="Times New Roman" w:cs="Times New Roman"/>
        </w:rPr>
        <w:t>when viewed in isolation but subject to interpretation when taken together.  This means that all contracts</w:t>
      </w:r>
      <w:r w:rsidR="00737606">
        <w:rPr>
          <w:rFonts w:ascii="Times New Roman" w:hAnsi="Times New Roman" w:cs="Times New Roman"/>
        </w:rPr>
        <w:t xml:space="preserve"> depend on</w:t>
      </w:r>
      <w:r w:rsidR="00540044">
        <w:rPr>
          <w:rFonts w:ascii="Times New Roman" w:hAnsi="Times New Roman" w:cs="Times New Roman"/>
        </w:rPr>
        <w:t xml:space="preserve"> courts to implement correctly the ex ante instructions the parties have embedded in their agreement.</w:t>
      </w:r>
      <w:r w:rsidR="00BD3520">
        <w:rPr>
          <w:rStyle w:val="FootnoteReference"/>
          <w:rFonts w:ascii="Times New Roman" w:hAnsi="Times New Roman"/>
        </w:rPr>
        <w:footnoteReference w:id="19"/>
      </w:r>
      <w:r w:rsidR="00540044">
        <w:rPr>
          <w:rFonts w:ascii="Times New Roman" w:hAnsi="Times New Roman" w:cs="Times New Roman"/>
        </w:rPr>
        <w:t xml:space="preserve">  Those instructions can be framed either as “hard” terms (precise, bright line rules) or as </w:t>
      </w:r>
      <w:r w:rsidR="00783B4F">
        <w:rPr>
          <w:rFonts w:ascii="Times New Roman" w:hAnsi="Times New Roman" w:cs="Times New Roman"/>
        </w:rPr>
        <w:t>“</w:t>
      </w:r>
      <w:r w:rsidR="00540044">
        <w:rPr>
          <w:rFonts w:ascii="Times New Roman" w:hAnsi="Times New Roman" w:cs="Times New Roman"/>
        </w:rPr>
        <w:t>soft</w:t>
      </w:r>
      <w:r w:rsidR="00783B4F">
        <w:rPr>
          <w:rFonts w:ascii="Times New Roman" w:hAnsi="Times New Roman" w:cs="Times New Roman"/>
        </w:rPr>
        <w:t>”</w:t>
      </w:r>
      <w:r w:rsidR="00540044">
        <w:rPr>
          <w:rFonts w:ascii="Times New Roman" w:hAnsi="Times New Roman" w:cs="Times New Roman"/>
        </w:rPr>
        <w:t xml:space="preserve"> terms (broad standards) or, more often, as combinations of the two.  But whether hard or soft, one party or the other will obtain a significant ex post </w:t>
      </w:r>
      <w:r w:rsidR="00540044">
        <w:rPr>
          <w:rFonts w:ascii="Times New Roman" w:hAnsi="Times New Roman" w:cs="Times New Roman"/>
        </w:rPr>
        <w:lastRenderedPageBreak/>
        <w:t>advantage whenever there is a substantial exogenous shock</w:t>
      </w:r>
      <w:r w:rsidR="00783B4F">
        <w:rPr>
          <w:rFonts w:ascii="Times New Roman" w:hAnsi="Times New Roman" w:cs="Times New Roman"/>
        </w:rPr>
        <w:t xml:space="preserve"> between the time of contracting and the time of performance.</w:t>
      </w:r>
      <w:r w:rsidR="00854FE2">
        <w:rPr>
          <w:rStyle w:val="FootnoteReference"/>
          <w:rFonts w:ascii="Times New Roman" w:hAnsi="Times New Roman"/>
        </w:rPr>
        <w:footnoteReference w:id="20"/>
      </w:r>
      <w:r w:rsidR="00540044">
        <w:rPr>
          <w:rFonts w:ascii="Times New Roman" w:hAnsi="Times New Roman" w:cs="Times New Roman"/>
        </w:rPr>
        <w:t xml:space="preserve">  Thus, if </w:t>
      </w:r>
      <w:r w:rsidR="00783B4F">
        <w:rPr>
          <w:rFonts w:ascii="Times New Roman" w:hAnsi="Times New Roman" w:cs="Times New Roman"/>
        </w:rPr>
        <w:t xml:space="preserve">the contract </w:t>
      </w:r>
      <w:r w:rsidR="00540044">
        <w:rPr>
          <w:rFonts w:ascii="Times New Roman" w:hAnsi="Times New Roman" w:cs="Times New Roman"/>
        </w:rPr>
        <w:t xml:space="preserve">terms are hard, the party </w:t>
      </w:r>
      <w:r w:rsidR="004F2DED">
        <w:rPr>
          <w:rFonts w:ascii="Times New Roman" w:hAnsi="Times New Roman" w:cs="Times New Roman"/>
        </w:rPr>
        <w:t>with the apparent benefit of a</w:t>
      </w:r>
      <w:r w:rsidR="00540044">
        <w:rPr>
          <w:rFonts w:ascii="Times New Roman" w:hAnsi="Times New Roman" w:cs="Times New Roman"/>
        </w:rPr>
        <w:t xml:space="preserve"> bright line rule</w:t>
      </w:r>
      <w:r w:rsidR="006144AA">
        <w:rPr>
          <w:rFonts w:ascii="Times New Roman" w:hAnsi="Times New Roman" w:cs="Times New Roman"/>
        </w:rPr>
        <w:t xml:space="preserve">, </w:t>
      </w:r>
      <w:r w:rsidR="00E33269">
        <w:rPr>
          <w:rFonts w:ascii="Times New Roman" w:hAnsi="Times New Roman" w:cs="Times New Roman"/>
        </w:rPr>
        <w:t>anticipati</w:t>
      </w:r>
      <w:r w:rsidR="006144AA">
        <w:rPr>
          <w:rFonts w:ascii="Times New Roman" w:hAnsi="Times New Roman" w:cs="Times New Roman"/>
        </w:rPr>
        <w:t>ng</w:t>
      </w:r>
      <w:r w:rsidR="00E33269">
        <w:rPr>
          <w:rFonts w:ascii="Times New Roman" w:hAnsi="Times New Roman" w:cs="Times New Roman"/>
        </w:rPr>
        <w:t xml:space="preserve"> an interpretation in its favor</w:t>
      </w:r>
      <w:r w:rsidR="006144AA">
        <w:rPr>
          <w:rFonts w:ascii="Times New Roman" w:hAnsi="Times New Roman" w:cs="Times New Roman"/>
        </w:rPr>
        <w:t xml:space="preserve">, </w:t>
      </w:r>
      <w:r w:rsidR="00E33269">
        <w:rPr>
          <w:rFonts w:ascii="Times New Roman" w:hAnsi="Times New Roman" w:cs="Times New Roman"/>
        </w:rPr>
        <w:t xml:space="preserve"> </w:t>
      </w:r>
      <w:r w:rsidR="006144AA">
        <w:rPr>
          <w:rFonts w:ascii="Times New Roman" w:hAnsi="Times New Roman" w:cs="Times New Roman"/>
        </w:rPr>
        <w:t>can extort rents in</w:t>
      </w:r>
      <w:r w:rsidR="00540044">
        <w:rPr>
          <w:rFonts w:ascii="Times New Roman" w:hAnsi="Times New Roman" w:cs="Times New Roman"/>
        </w:rPr>
        <w:t xml:space="preserve"> </w:t>
      </w:r>
      <w:r w:rsidR="00E33269">
        <w:rPr>
          <w:rFonts w:ascii="Times New Roman" w:hAnsi="Times New Roman" w:cs="Times New Roman"/>
        </w:rPr>
        <w:t xml:space="preserve">return for </w:t>
      </w:r>
      <w:r w:rsidR="006144AA">
        <w:rPr>
          <w:rFonts w:ascii="Times New Roman" w:hAnsi="Times New Roman" w:cs="Times New Roman"/>
        </w:rPr>
        <w:t xml:space="preserve">agreeing </w:t>
      </w:r>
      <w:r w:rsidR="00540044">
        <w:rPr>
          <w:rFonts w:ascii="Times New Roman" w:hAnsi="Times New Roman" w:cs="Times New Roman"/>
        </w:rPr>
        <w:t xml:space="preserve">to adjust </w:t>
      </w:r>
      <w:r w:rsidR="00783B4F">
        <w:rPr>
          <w:rFonts w:ascii="Times New Roman" w:hAnsi="Times New Roman" w:cs="Times New Roman"/>
        </w:rPr>
        <w:t xml:space="preserve">its behavior </w:t>
      </w:r>
      <w:r w:rsidR="00540044">
        <w:rPr>
          <w:rFonts w:ascii="Times New Roman" w:hAnsi="Times New Roman" w:cs="Times New Roman"/>
        </w:rPr>
        <w:t xml:space="preserve">in ways that would reduce the ex post losses of the counterparty. (Let’s call this Type I shading).  </w:t>
      </w:r>
      <w:r w:rsidR="00783B4F">
        <w:rPr>
          <w:rFonts w:ascii="Times New Roman" w:hAnsi="Times New Roman" w:cs="Times New Roman"/>
        </w:rPr>
        <w:t>In light of the problem that hard terms can work an injustice to the party who has been disadvantaged by fate, many scholars have argued that courts should imply broad standards of reasonableness or good faith adjustment to moderate the ef</w:t>
      </w:r>
      <w:r w:rsidR="0025406E">
        <w:rPr>
          <w:rFonts w:ascii="Times New Roman" w:hAnsi="Times New Roman" w:cs="Times New Roman"/>
        </w:rPr>
        <w:t xml:space="preserve">fects </w:t>
      </w:r>
      <w:r w:rsidR="00783B4F">
        <w:rPr>
          <w:rFonts w:ascii="Times New Roman" w:hAnsi="Times New Roman" w:cs="Times New Roman"/>
        </w:rPr>
        <w:t>of the bright line obligation that subsequently proves so vexing.</w:t>
      </w:r>
      <w:r w:rsidR="00032C1D">
        <w:rPr>
          <w:rStyle w:val="FootnoteReference"/>
          <w:rFonts w:ascii="Times New Roman" w:hAnsi="Times New Roman"/>
        </w:rPr>
        <w:footnoteReference w:id="21"/>
      </w:r>
      <w:r w:rsidR="00783B4F">
        <w:rPr>
          <w:rFonts w:ascii="Times New Roman" w:hAnsi="Times New Roman" w:cs="Times New Roman"/>
        </w:rPr>
        <w:t xml:space="preserve"> </w:t>
      </w:r>
      <w:r w:rsidR="0025406E">
        <w:rPr>
          <w:rFonts w:ascii="Times New Roman" w:hAnsi="Times New Roman" w:cs="Times New Roman"/>
        </w:rPr>
        <w:t xml:space="preserve"> But this strategy merely shifts the advantage to the counterparty.  S</w:t>
      </w:r>
      <w:r w:rsidR="00540044">
        <w:rPr>
          <w:rFonts w:ascii="Times New Roman" w:hAnsi="Times New Roman" w:cs="Times New Roman"/>
        </w:rPr>
        <w:t>ubstituting a soft standard</w:t>
      </w:r>
      <w:r w:rsidR="0025406E">
        <w:rPr>
          <w:rFonts w:ascii="Times New Roman" w:hAnsi="Times New Roman" w:cs="Times New Roman"/>
        </w:rPr>
        <w:t>-- such as good faith adjustment--</w:t>
      </w:r>
      <w:r w:rsidR="00540044">
        <w:rPr>
          <w:rFonts w:ascii="Times New Roman" w:hAnsi="Times New Roman" w:cs="Times New Roman"/>
        </w:rPr>
        <w:t xml:space="preserve"> for the hard rule merely creates a moral hazard risk on the other </w:t>
      </w:r>
      <w:r w:rsidR="00540044" w:rsidRPr="007068A7">
        <w:rPr>
          <w:rFonts w:ascii="Times New Roman" w:hAnsi="Times New Roman" w:cs="Times New Roman"/>
        </w:rPr>
        <w:t>side</w:t>
      </w:r>
      <w:r w:rsidR="00540044">
        <w:rPr>
          <w:rFonts w:ascii="Times New Roman" w:hAnsi="Times New Roman" w:cs="Times New Roman"/>
        </w:rPr>
        <w:t>,</w:t>
      </w:r>
      <w:r w:rsidR="00540044" w:rsidRPr="007068A7">
        <w:rPr>
          <w:rFonts w:ascii="Times New Roman" w:hAnsi="Times New Roman" w:cs="Times New Roman"/>
        </w:rPr>
        <w:t xml:space="preserve"> </w:t>
      </w:r>
      <w:r w:rsidR="00540044">
        <w:rPr>
          <w:rFonts w:ascii="Times New Roman" w:hAnsi="Times New Roman" w:cs="Times New Roman"/>
        </w:rPr>
        <w:t>inviting</w:t>
      </w:r>
      <w:r w:rsidR="00540044" w:rsidRPr="007068A7">
        <w:rPr>
          <w:rFonts w:ascii="Times New Roman" w:hAnsi="Times New Roman" w:cs="Times New Roman"/>
        </w:rPr>
        <w:t xml:space="preserve"> a losing party to exploit the court’s discretion </w:t>
      </w:r>
      <w:r w:rsidR="00540044">
        <w:rPr>
          <w:rFonts w:ascii="Times New Roman" w:hAnsi="Times New Roman" w:cs="Times New Roman"/>
        </w:rPr>
        <w:t>by persuading</w:t>
      </w:r>
      <w:r w:rsidR="00540044" w:rsidRPr="007068A7">
        <w:rPr>
          <w:rFonts w:ascii="Times New Roman" w:hAnsi="Times New Roman" w:cs="Times New Roman"/>
        </w:rPr>
        <w:t xml:space="preserve"> it to reallocate losses </w:t>
      </w:r>
      <w:r w:rsidR="00540044">
        <w:rPr>
          <w:rFonts w:ascii="Times New Roman" w:hAnsi="Times New Roman" w:cs="Times New Roman"/>
        </w:rPr>
        <w:t>that were</w:t>
      </w:r>
      <w:r w:rsidR="00B017FA">
        <w:rPr>
          <w:rFonts w:ascii="Times New Roman" w:hAnsi="Times New Roman" w:cs="Times New Roman"/>
        </w:rPr>
        <w:t xml:space="preserve"> in fact allocated</w:t>
      </w:r>
      <w:r w:rsidR="00540044" w:rsidRPr="007068A7">
        <w:rPr>
          <w:rFonts w:ascii="Times New Roman" w:hAnsi="Times New Roman" w:cs="Times New Roman"/>
        </w:rPr>
        <w:t xml:space="preserve"> to the losing party by the contract</w:t>
      </w:r>
      <w:r w:rsidR="00540044">
        <w:rPr>
          <w:rFonts w:ascii="Times New Roman" w:hAnsi="Times New Roman" w:cs="Times New Roman"/>
        </w:rPr>
        <w:t xml:space="preserve"> (</w:t>
      </w:r>
      <w:r w:rsidR="0025406E">
        <w:rPr>
          <w:rFonts w:ascii="Times New Roman" w:hAnsi="Times New Roman" w:cs="Times New Roman"/>
        </w:rPr>
        <w:t xml:space="preserve">Call this </w:t>
      </w:r>
      <w:r w:rsidR="00540044">
        <w:rPr>
          <w:rFonts w:ascii="Times New Roman" w:hAnsi="Times New Roman" w:cs="Times New Roman"/>
        </w:rPr>
        <w:t>Type II shading)</w:t>
      </w:r>
      <w:r w:rsidR="00540044" w:rsidRPr="007068A7">
        <w:rPr>
          <w:rFonts w:ascii="Times New Roman" w:hAnsi="Times New Roman" w:cs="Times New Roman"/>
        </w:rPr>
        <w:t>.</w:t>
      </w:r>
      <w:r w:rsidR="00854FE2">
        <w:rPr>
          <w:rStyle w:val="FootnoteReference"/>
          <w:rFonts w:ascii="Times New Roman" w:hAnsi="Times New Roman"/>
        </w:rPr>
        <w:footnoteReference w:id="22"/>
      </w:r>
      <w:r w:rsidR="00540044" w:rsidRPr="007068A7">
        <w:rPr>
          <w:rFonts w:ascii="Times New Roman" w:hAnsi="Times New Roman" w:cs="Times New Roman"/>
        </w:rPr>
        <w:t xml:space="preserve"> </w:t>
      </w:r>
    </w:p>
    <w:p w14:paraId="312C8298" w14:textId="77777777" w:rsidR="00540044" w:rsidRDefault="00540044" w:rsidP="00540044">
      <w:pPr>
        <w:spacing w:line="360" w:lineRule="auto"/>
        <w:ind w:firstLine="720"/>
        <w:rPr>
          <w:rFonts w:ascii="Times New Roman" w:hAnsi="Times New Roman" w:cs="Times New Roman"/>
        </w:rPr>
      </w:pPr>
    </w:p>
    <w:p w14:paraId="139AC2EF" w14:textId="67D42A6E" w:rsidR="00540044" w:rsidRDefault="00B52DB8" w:rsidP="00540044">
      <w:pPr>
        <w:spacing w:line="360" w:lineRule="auto"/>
        <w:ind w:firstLine="720"/>
        <w:rPr>
          <w:rFonts w:ascii="Times New Roman" w:hAnsi="Times New Roman" w:cs="Times New Roman"/>
        </w:rPr>
      </w:pPr>
      <w:r>
        <w:rPr>
          <w:rFonts w:ascii="Times New Roman" w:hAnsi="Times New Roman" w:cs="Times New Roman"/>
        </w:rPr>
        <w:t>S</w:t>
      </w:r>
      <w:r w:rsidR="00540044">
        <w:rPr>
          <w:rFonts w:ascii="Times New Roman" w:hAnsi="Times New Roman" w:cs="Times New Roman"/>
        </w:rPr>
        <w:t xml:space="preserve">hading is </w:t>
      </w:r>
      <w:r w:rsidR="008A1BB7">
        <w:rPr>
          <w:rFonts w:ascii="Times New Roman" w:hAnsi="Times New Roman" w:cs="Times New Roman"/>
        </w:rPr>
        <w:t xml:space="preserve">not only pervasive but it is also </w:t>
      </w:r>
      <w:r w:rsidR="00540044">
        <w:rPr>
          <w:rFonts w:ascii="Times New Roman" w:hAnsi="Times New Roman" w:cs="Times New Roman"/>
        </w:rPr>
        <w:t>difficult to detect</w:t>
      </w:r>
      <w:r w:rsidR="00540A53">
        <w:rPr>
          <w:rFonts w:ascii="Times New Roman" w:hAnsi="Times New Roman" w:cs="Times New Roman"/>
        </w:rPr>
        <w:t>.  Of</w:t>
      </w:r>
      <w:r w:rsidR="00540044">
        <w:rPr>
          <w:rFonts w:ascii="Times New Roman" w:hAnsi="Times New Roman" w:cs="Times New Roman"/>
        </w:rPr>
        <w:t xml:space="preserve">ten the </w:t>
      </w:r>
      <w:proofErr w:type="spellStart"/>
      <w:r w:rsidR="00540044">
        <w:rPr>
          <w:rFonts w:ascii="Times New Roman" w:hAnsi="Times New Roman" w:cs="Times New Roman"/>
        </w:rPr>
        <w:t>shader</w:t>
      </w:r>
      <w:proofErr w:type="spellEnd"/>
      <w:r w:rsidR="00540044">
        <w:rPr>
          <w:rFonts w:ascii="Times New Roman" w:hAnsi="Times New Roman" w:cs="Times New Roman"/>
        </w:rPr>
        <w:t xml:space="preserve"> is entirely sincere in her belief that she has complied with the contract and that </w:t>
      </w:r>
      <w:r w:rsidR="0025406E">
        <w:rPr>
          <w:rFonts w:ascii="Times New Roman" w:hAnsi="Times New Roman" w:cs="Times New Roman"/>
        </w:rPr>
        <w:t xml:space="preserve">it is </w:t>
      </w:r>
      <w:r w:rsidR="00540044">
        <w:rPr>
          <w:rFonts w:ascii="Times New Roman" w:hAnsi="Times New Roman" w:cs="Times New Roman"/>
        </w:rPr>
        <w:t xml:space="preserve">the counterparty </w:t>
      </w:r>
      <w:r w:rsidR="0025406E">
        <w:rPr>
          <w:rFonts w:ascii="Times New Roman" w:hAnsi="Times New Roman" w:cs="Times New Roman"/>
        </w:rPr>
        <w:t>who is</w:t>
      </w:r>
      <w:r w:rsidR="00540044">
        <w:rPr>
          <w:rFonts w:ascii="Times New Roman" w:hAnsi="Times New Roman" w:cs="Times New Roman"/>
        </w:rPr>
        <w:t xml:space="preserve"> the </w:t>
      </w:r>
      <w:proofErr w:type="spellStart"/>
      <w:r w:rsidR="00540044">
        <w:rPr>
          <w:rFonts w:ascii="Times New Roman" w:hAnsi="Times New Roman" w:cs="Times New Roman"/>
        </w:rPr>
        <w:t>breacher</w:t>
      </w:r>
      <w:proofErr w:type="spellEnd"/>
      <w:r w:rsidR="00540044">
        <w:rPr>
          <w:rFonts w:ascii="Times New Roman" w:hAnsi="Times New Roman" w:cs="Times New Roman"/>
        </w:rPr>
        <w:t xml:space="preserve">.  There are two related but distinct phenomena here.  The first is the </w:t>
      </w:r>
      <w:r w:rsidR="001D2AAF">
        <w:rPr>
          <w:rFonts w:ascii="Times New Roman" w:hAnsi="Times New Roman" w:cs="Times New Roman"/>
        </w:rPr>
        <w:t>“</w:t>
      </w:r>
      <w:r w:rsidR="00540044">
        <w:rPr>
          <w:rFonts w:ascii="Times New Roman" w:hAnsi="Times New Roman" w:cs="Times New Roman"/>
        </w:rPr>
        <w:t>noisy prisoner’s dilemma</w:t>
      </w:r>
      <w:r w:rsidR="001D2AAF">
        <w:rPr>
          <w:rFonts w:ascii="Times New Roman" w:hAnsi="Times New Roman" w:cs="Times New Roman"/>
        </w:rPr>
        <w:t>”</w:t>
      </w:r>
      <w:r w:rsidR="00540044">
        <w:rPr>
          <w:rFonts w:ascii="Times New Roman" w:hAnsi="Times New Roman" w:cs="Times New Roman"/>
        </w:rPr>
        <w:t xml:space="preserve"> problem:  It is very difficult for parties engaged in iterative acts of performance to interpret correctly the behavior</w:t>
      </w:r>
      <w:r w:rsidR="004F2DED">
        <w:rPr>
          <w:rFonts w:ascii="Times New Roman" w:hAnsi="Times New Roman" w:cs="Times New Roman"/>
        </w:rPr>
        <w:t xml:space="preserve">s of their counterparty.  A </w:t>
      </w:r>
      <w:r w:rsidR="00E108D7">
        <w:rPr>
          <w:rFonts w:ascii="Times New Roman" w:hAnsi="Times New Roman" w:cs="Times New Roman"/>
        </w:rPr>
        <w:t>cooperative action</w:t>
      </w:r>
      <w:r w:rsidR="00540044">
        <w:rPr>
          <w:rFonts w:ascii="Times New Roman" w:hAnsi="Times New Roman" w:cs="Times New Roman"/>
        </w:rPr>
        <w:t xml:space="preserve"> can </w:t>
      </w:r>
      <w:r w:rsidR="001D2AAF">
        <w:rPr>
          <w:rFonts w:ascii="Times New Roman" w:hAnsi="Times New Roman" w:cs="Times New Roman"/>
        </w:rPr>
        <w:t xml:space="preserve">often </w:t>
      </w:r>
      <w:r w:rsidR="00540044">
        <w:rPr>
          <w:rFonts w:ascii="Times New Roman" w:hAnsi="Times New Roman" w:cs="Times New Roman"/>
        </w:rPr>
        <w:t>be misinterpreted as a def</w:t>
      </w:r>
      <w:r w:rsidR="004F2DED">
        <w:rPr>
          <w:rFonts w:ascii="Times New Roman" w:hAnsi="Times New Roman" w:cs="Times New Roman"/>
        </w:rPr>
        <w:t>ection and vice versa.</w:t>
      </w:r>
      <w:r w:rsidR="00D124DA">
        <w:rPr>
          <w:rFonts w:ascii="Times New Roman" w:hAnsi="Times New Roman" w:cs="Times New Roman"/>
        </w:rPr>
        <w:t xml:space="preserve">  </w:t>
      </w:r>
      <w:r w:rsidR="00540A53">
        <w:rPr>
          <w:rFonts w:ascii="Times New Roman" w:hAnsi="Times New Roman" w:cs="Times New Roman"/>
        </w:rPr>
        <w:t xml:space="preserve">This can lead to sincere but mistaken retaliation against a perceived breach of </w:t>
      </w:r>
      <w:r w:rsidR="00540A53">
        <w:rPr>
          <w:rFonts w:ascii="Times New Roman" w:hAnsi="Times New Roman" w:cs="Times New Roman"/>
        </w:rPr>
        <w:lastRenderedPageBreak/>
        <w:t>trust.</w:t>
      </w:r>
      <w:r w:rsidR="00322112">
        <w:rPr>
          <w:rStyle w:val="FootnoteReference"/>
          <w:rFonts w:ascii="Times New Roman" w:hAnsi="Times New Roman"/>
        </w:rPr>
        <w:footnoteReference w:id="23"/>
      </w:r>
      <w:r w:rsidR="00540A53">
        <w:rPr>
          <w:rFonts w:ascii="Times New Roman" w:hAnsi="Times New Roman" w:cs="Times New Roman"/>
        </w:rPr>
        <w:t xml:space="preserve">  </w:t>
      </w:r>
      <w:r w:rsidR="00D124DA">
        <w:rPr>
          <w:rFonts w:ascii="Times New Roman" w:hAnsi="Times New Roman" w:cs="Times New Roman"/>
        </w:rPr>
        <w:t>Second, there is a phenomenon</w:t>
      </w:r>
      <w:r w:rsidR="004F2DED">
        <w:rPr>
          <w:rFonts w:ascii="Times New Roman" w:hAnsi="Times New Roman" w:cs="Times New Roman"/>
        </w:rPr>
        <w:t xml:space="preserve"> that every good commercial lawyer understands: </w:t>
      </w:r>
      <w:r w:rsidR="00540044">
        <w:rPr>
          <w:rFonts w:ascii="Times New Roman" w:hAnsi="Times New Roman" w:cs="Times New Roman"/>
        </w:rPr>
        <w:t>the behavioral reality is that agreeing</w:t>
      </w:r>
      <w:r w:rsidR="00B017FA">
        <w:rPr>
          <w:rFonts w:ascii="Times New Roman" w:hAnsi="Times New Roman" w:cs="Times New Roman"/>
        </w:rPr>
        <w:t xml:space="preserve"> before the fact</w:t>
      </w:r>
      <w:r w:rsidR="00540044">
        <w:rPr>
          <w:rFonts w:ascii="Times New Roman" w:hAnsi="Times New Roman" w:cs="Times New Roman"/>
        </w:rPr>
        <w:t xml:space="preserve"> to bear a low-probability, long-tail risk is quite a different matter from being willing to</w:t>
      </w:r>
      <w:r w:rsidR="001D2AAF">
        <w:rPr>
          <w:rFonts w:ascii="Times New Roman" w:hAnsi="Times New Roman" w:cs="Times New Roman"/>
        </w:rPr>
        <w:t xml:space="preserve"> absorb the entire cost </w:t>
      </w:r>
      <w:r w:rsidR="00540044">
        <w:rPr>
          <w:rFonts w:ascii="Times New Roman" w:hAnsi="Times New Roman" w:cs="Times New Roman"/>
        </w:rPr>
        <w:t xml:space="preserve">once the risk materializes.  The prospect of suffering large ex post losses can produce a form of cognitive amnesia in which both parties are convinced that their behavior is </w:t>
      </w:r>
      <w:r w:rsidR="004F2DED">
        <w:rPr>
          <w:rFonts w:ascii="Times New Roman" w:hAnsi="Times New Roman" w:cs="Times New Roman"/>
        </w:rPr>
        <w:t xml:space="preserve">perfectly </w:t>
      </w:r>
      <w:r w:rsidR="00540044">
        <w:rPr>
          <w:rFonts w:ascii="Times New Roman" w:hAnsi="Times New Roman" w:cs="Times New Roman"/>
        </w:rPr>
        <w:t xml:space="preserve">consistent with their contractual obligations.  To be sure, a party’s claim of compliance may be </w:t>
      </w:r>
      <w:r w:rsidR="006144AA">
        <w:rPr>
          <w:rFonts w:ascii="Times New Roman" w:hAnsi="Times New Roman" w:cs="Times New Roman"/>
        </w:rPr>
        <w:t xml:space="preserve">blatantly </w:t>
      </w:r>
      <w:r w:rsidR="00540044">
        <w:rPr>
          <w:rFonts w:ascii="Times New Roman" w:hAnsi="Times New Roman" w:cs="Times New Roman"/>
        </w:rPr>
        <w:t xml:space="preserve">strategic in which case the court will be confronted with a self-conscious opportunist in </w:t>
      </w:r>
      <w:proofErr w:type="spellStart"/>
      <w:r w:rsidR="00540044">
        <w:rPr>
          <w:rFonts w:ascii="Times New Roman" w:hAnsi="Times New Roman" w:cs="Times New Roman"/>
        </w:rPr>
        <w:t>shader’s</w:t>
      </w:r>
      <w:proofErr w:type="spellEnd"/>
      <w:r w:rsidR="00540044">
        <w:rPr>
          <w:rFonts w:ascii="Times New Roman" w:hAnsi="Times New Roman" w:cs="Times New Roman"/>
        </w:rPr>
        <w:t xml:space="preserve"> clothing. </w:t>
      </w:r>
      <w:r w:rsidR="004F2DED">
        <w:rPr>
          <w:rFonts w:ascii="Times New Roman" w:hAnsi="Times New Roman" w:cs="Times New Roman"/>
        </w:rPr>
        <w:t xml:space="preserve"> </w:t>
      </w:r>
      <w:r w:rsidR="00540044">
        <w:rPr>
          <w:rFonts w:ascii="Times New Roman" w:hAnsi="Times New Roman" w:cs="Times New Roman"/>
        </w:rPr>
        <w:t xml:space="preserve">But in any event, there is no “breach” in any meaningful sense of the word unless and until a court—acting as a referee--assesses the evidence and makes a call.  </w:t>
      </w:r>
    </w:p>
    <w:p w14:paraId="080DEF0D" w14:textId="77777777" w:rsidR="008E5E7B" w:rsidRDefault="008E5E7B" w:rsidP="00540044">
      <w:pPr>
        <w:spacing w:line="360" w:lineRule="auto"/>
        <w:ind w:firstLine="720"/>
        <w:rPr>
          <w:rFonts w:ascii="Times New Roman" w:hAnsi="Times New Roman" w:cs="Times New Roman"/>
        </w:rPr>
      </w:pPr>
    </w:p>
    <w:p w14:paraId="0C0C2D12" w14:textId="305AD3DD" w:rsidR="008E5E7B" w:rsidRDefault="008E5E7B" w:rsidP="008E5E7B">
      <w:pPr>
        <w:spacing w:line="360" w:lineRule="auto"/>
        <w:ind w:firstLine="720"/>
        <w:rPr>
          <w:rFonts w:ascii="Times New Roman" w:hAnsi="Times New Roman" w:cs="Times New Roman"/>
        </w:rPr>
      </w:pPr>
      <w:r>
        <w:rPr>
          <w:rFonts w:ascii="Times New Roman" w:hAnsi="Times New Roman" w:cs="Times New Roman"/>
        </w:rPr>
        <w:t>One might be tempted at this juncture to turn to relational contract theory and ask whether norms of trust, reciprocity and the desire to preserve one’s reputation will deter shading on the margin and avo</w:t>
      </w:r>
      <w:r w:rsidR="00D124DA">
        <w:rPr>
          <w:rFonts w:ascii="Times New Roman" w:hAnsi="Times New Roman" w:cs="Times New Roman"/>
        </w:rPr>
        <w:t>id the problem altogether.</w:t>
      </w:r>
      <w:r w:rsidR="006736DB">
        <w:rPr>
          <w:rStyle w:val="FootnoteReference"/>
          <w:rFonts w:ascii="Times New Roman" w:hAnsi="Times New Roman"/>
        </w:rPr>
        <w:footnoteReference w:id="24"/>
      </w:r>
      <w:r w:rsidR="00D124DA">
        <w:rPr>
          <w:rFonts w:ascii="Times New Roman" w:hAnsi="Times New Roman" w:cs="Times New Roman"/>
        </w:rPr>
        <w:t xml:space="preserve">  But relationships built on trust alone are</w:t>
      </w:r>
      <w:r>
        <w:rPr>
          <w:rFonts w:ascii="Times New Roman" w:hAnsi="Times New Roman" w:cs="Times New Roman"/>
        </w:rPr>
        <w:t xml:space="preserve"> little help in this situation. </w:t>
      </w:r>
      <w:r w:rsidR="00D124DA">
        <w:rPr>
          <w:rFonts w:ascii="Times New Roman" w:hAnsi="Times New Roman" w:cs="Times New Roman"/>
        </w:rPr>
        <w:t xml:space="preserve"> C</w:t>
      </w:r>
      <w:r>
        <w:rPr>
          <w:rFonts w:ascii="Times New Roman" w:hAnsi="Times New Roman" w:cs="Times New Roman"/>
        </w:rPr>
        <w:t>ontract</w:t>
      </w:r>
      <w:r w:rsidR="001D2AAF">
        <w:rPr>
          <w:rFonts w:ascii="Times New Roman" w:hAnsi="Times New Roman" w:cs="Times New Roman"/>
        </w:rPr>
        <w:t xml:space="preserve"> disputes of this sort present</w:t>
      </w:r>
      <w:r>
        <w:rPr>
          <w:rFonts w:ascii="Times New Roman" w:hAnsi="Times New Roman" w:cs="Times New Roman"/>
        </w:rPr>
        <w:t xml:space="preserve"> an end game--bet the ranch—</w:t>
      </w:r>
      <w:r w:rsidR="00D124DA">
        <w:rPr>
          <w:rFonts w:ascii="Times New Roman" w:hAnsi="Times New Roman" w:cs="Times New Roman"/>
        </w:rPr>
        <w:t>situation in which the relationship will come to an end o</w:t>
      </w:r>
      <w:r w:rsidR="00E114B0">
        <w:rPr>
          <w:rFonts w:ascii="Times New Roman" w:hAnsi="Times New Roman" w:cs="Times New Roman"/>
        </w:rPr>
        <w:t xml:space="preserve">ne way or the other so the </w:t>
      </w:r>
      <w:proofErr w:type="spellStart"/>
      <w:r w:rsidR="00E114B0">
        <w:rPr>
          <w:rFonts w:ascii="Times New Roman" w:hAnsi="Times New Roman" w:cs="Times New Roman"/>
        </w:rPr>
        <w:t>shader</w:t>
      </w:r>
      <w:proofErr w:type="spellEnd"/>
      <w:r w:rsidR="00E114B0">
        <w:rPr>
          <w:rFonts w:ascii="Times New Roman" w:hAnsi="Times New Roman" w:cs="Times New Roman"/>
        </w:rPr>
        <w:t xml:space="preserve"> has little to lose. </w:t>
      </w:r>
      <w:r w:rsidR="00C761B2">
        <w:rPr>
          <w:rFonts w:ascii="Times New Roman" w:hAnsi="Times New Roman" w:cs="Times New Roman"/>
        </w:rPr>
        <w:t xml:space="preserve"> Moreover, </w:t>
      </w:r>
      <w:r w:rsidR="00D124DA">
        <w:rPr>
          <w:rFonts w:ascii="Times New Roman" w:hAnsi="Times New Roman" w:cs="Times New Roman"/>
        </w:rPr>
        <w:t xml:space="preserve">even if </w:t>
      </w:r>
      <w:r w:rsidR="00E114B0">
        <w:rPr>
          <w:rFonts w:ascii="Times New Roman" w:hAnsi="Times New Roman" w:cs="Times New Roman"/>
        </w:rPr>
        <w:t xml:space="preserve">contracting </w:t>
      </w:r>
      <w:r w:rsidR="00D124DA">
        <w:rPr>
          <w:rFonts w:ascii="Times New Roman" w:hAnsi="Times New Roman" w:cs="Times New Roman"/>
        </w:rPr>
        <w:t>parties</w:t>
      </w:r>
      <w:r w:rsidR="00C761B2">
        <w:rPr>
          <w:rFonts w:ascii="Times New Roman" w:hAnsi="Times New Roman" w:cs="Times New Roman"/>
        </w:rPr>
        <w:t xml:space="preserve"> are willing to</w:t>
      </w:r>
      <w:r w:rsidR="001D2AAF">
        <w:rPr>
          <w:rFonts w:ascii="Times New Roman" w:hAnsi="Times New Roman" w:cs="Times New Roman"/>
        </w:rPr>
        <w:t xml:space="preserve"> punish selfish or unfair </w:t>
      </w:r>
      <w:r w:rsidR="00D124DA">
        <w:rPr>
          <w:rFonts w:ascii="Times New Roman" w:hAnsi="Times New Roman" w:cs="Times New Roman"/>
        </w:rPr>
        <w:t xml:space="preserve">actions by their counterparty, as the behavioral research </w:t>
      </w:r>
      <w:r w:rsidR="00D124DA">
        <w:rPr>
          <w:rFonts w:ascii="Times New Roman" w:hAnsi="Times New Roman" w:cs="Times New Roman"/>
        </w:rPr>
        <w:lastRenderedPageBreak/>
        <w:t>suggests,</w:t>
      </w:r>
      <w:r w:rsidR="009A0020">
        <w:rPr>
          <w:rStyle w:val="FootnoteReference"/>
          <w:rFonts w:ascii="Times New Roman" w:hAnsi="Times New Roman"/>
        </w:rPr>
        <w:footnoteReference w:id="25"/>
      </w:r>
      <w:r w:rsidR="00D124DA">
        <w:rPr>
          <w:rFonts w:ascii="Times New Roman" w:hAnsi="Times New Roman" w:cs="Times New Roman"/>
        </w:rPr>
        <w:t xml:space="preserve"> this won’t </w:t>
      </w:r>
      <w:r w:rsidR="00C761B2">
        <w:rPr>
          <w:rFonts w:ascii="Times New Roman" w:hAnsi="Times New Roman" w:cs="Times New Roman"/>
        </w:rPr>
        <w:t>deter</w:t>
      </w:r>
      <w:r w:rsidR="00D124DA">
        <w:rPr>
          <w:rFonts w:ascii="Times New Roman" w:hAnsi="Times New Roman" w:cs="Times New Roman"/>
        </w:rPr>
        <w:t xml:space="preserve"> </w:t>
      </w:r>
      <w:r w:rsidR="001D2AAF">
        <w:rPr>
          <w:rFonts w:ascii="Times New Roman" w:hAnsi="Times New Roman" w:cs="Times New Roman"/>
        </w:rPr>
        <w:t>shading</w:t>
      </w:r>
      <w:r>
        <w:rPr>
          <w:rFonts w:ascii="Times New Roman" w:hAnsi="Times New Roman" w:cs="Times New Roman"/>
        </w:rPr>
        <w:t xml:space="preserve"> </w:t>
      </w:r>
      <w:r w:rsidR="00E114B0">
        <w:rPr>
          <w:rFonts w:ascii="Times New Roman" w:hAnsi="Times New Roman" w:cs="Times New Roman"/>
        </w:rPr>
        <w:t>either</w:t>
      </w:r>
      <w:r w:rsidR="000B21F0">
        <w:rPr>
          <w:rFonts w:ascii="Times New Roman" w:hAnsi="Times New Roman" w:cs="Times New Roman"/>
        </w:rPr>
        <w:t>.  A</w:t>
      </w:r>
      <w:r w:rsidR="001D2AAF">
        <w:rPr>
          <w:rFonts w:ascii="Times New Roman" w:hAnsi="Times New Roman" w:cs="Times New Roman"/>
        </w:rPr>
        <w:t>s</w:t>
      </w:r>
      <w:r w:rsidR="00B52DB8">
        <w:rPr>
          <w:rFonts w:ascii="Times New Roman" w:hAnsi="Times New Roman" w:cs="Times New Roman"/>
        </w:rPr>
        <w:t xml:space="preserve"> I have suggested</w:t>
      </w:r>
      <w:r w:rsidR="00C761B2">
        <w:rPr>
          <w:rFonts w:ascii="Times New Roman" w:hAnsi="Times New Roman" w:cs="Times New Roman"/>
        </w:rPr>
        <w:t>,</w:t>
      </w:r>
      <w:r>
        <w:rPr>
          <w:rFonts w:ascii="Times New Roman" w:hAnsi="Times New Roman" w:cs="Times New Roman"/>
        </w:rPr>
        <w:t xml:space="preserve"> both parties see themselves as behaving fairly under the circumstances</w:t>
      </w:r>
      <w:r w:rsidR="00C761B2">
        <w:rPr>
          <w:rFonts w:ascii="Times New Roman" w:hAnsi="Times New Roman" w:cs="Times New Roman"/>
        </w:rPr>
        <w:t xml:space="preserve"> and therefore feel that their actions are fully justified. </w:t>
      </w:r>
    </w:p>
    <w:p w14:paraId="03E26411" w14:textId="77777777" w:rsidR="008A1BB7" w:rsidRDefault="008A1BB7" w:rsidP="00C761B2">
      <w:pPr>
        <w:spacing w:line="360" w:lineRule="auto"/>
        <w:rPr>
          <w:rFonts w:ascii="Times New Roman" w:hAnsi="Times New Roman" w:cs="Times New Roman"/>
        </w:rPr>
      </w:pPr>
    </w:p>
    <w:p w14:paraId="4CF2B6E3" w14:textId="77777777" w:rsidR="00284A8C" w:rsidRDefault="008E5E7B" w:rsidP="00284A8C">
      <w:pPr>
        <w:spacing w:line="360" w:lineRule="auto"/>
        <w:ind w:firstLine="720"/>
        <w:rPr>
          <w:rFonts w:ascii="Times New Roman" w:hAnsi="Times New Roman" w:cs="Times New Roman"/>
        </w:rPr>
      </w:pPr>
      <w:r>
        <w:rPr>
          <w:rFonts w:ascii="Times New Roman" w:hAnsi="Times New Roman" w:cs="Times New Roman"/>
        </w:rPr>
        <w:t>So w</w:t>
      </w:r>
      <w:r w:rsidR="008A1BB7">
        <w:rPr>
          <w:rFonts w:ascii="Times New Roman" w:hAnsi="Times New Roman" w:cs="Times New Roman"/>
        </w:rPr>
        <w:t>hat</w:t>
      </w:r>
      <w:r w:rsidR="00AE3E73">
        <w:rPr>
          <w:rFonts w:ascii="Times New Roman" w:hAnsi="Times New Roman" w:cs="Times New Roman"/>
        </w:rPr>
        <w:t xml:space="preserve"> is a court supposed to do</w:t>
      </w:r>
      <w:r w:rsidR="008A1BB7">
        <w:rPr>
          <w:rFonts w:ascii="Times New Roman" w:hAnsi="Times New Roman" w:cs="Times New Roman"/>
        </w:rPr>
        <w:t xml:space="preserve">?   </w:t>
      </w:r>
      <w:r w:rsidR="00395C7F">
        <w:rPr>
          <w:rFonts w:ascii="Times New Roman" w:hAnsi="Times New Roman" w:cs="Times New Roman"/>
        </w:rPr>
        <w:t>As I mentioned earlier, several scholars have recently argued for a r</w:t>
      </w:r>
      <w:r w:rsidR="00E114B0">
        <w:rPr>
          <w:rFonts w:ascii="Times New Roman" w:hAnsi="Times New Roman" w:cs="Times New Roman"/>
        </w:rPr>
        <w:t>eturn to traditional equity—on this view</w:t>
      </w:r>
      <w:r w:rsidR="00395C7F">
        <w:rPr>
          <w:rFonts w:ascii="Times New Roman" w:hAnsi="Times New Roman" w:cs="Times New Roman"/>
        </w:rPr>
        <w:t xml:space="preserve">, courts would </w:t>
      </w:r>
      <w:r w:rsidR="008A1BB7">
        <w:rPr>
          <w:rFonts w:ascii="Times New Roman" w:hAnsi="Times New Roman" w:cs="Times New Roman"/>
        </w:rPr>
        <w:t xml:space="preserve">make a </w:t>
      </w:r>
      <w:proofErr w:type="spellStart"/>
      <w:r w:rsidR="008A1BB7">
        <w:rPr>
          <w:rFonts w:ascii="Times New Roman" w:hAnsi="Times New Roman" w:cs="Times New Roman"/>
        </w:rPr>
        <w:t>Solomonic</w:t>
      </w:r>
      <w:proofErr w:type="spellEnd"/>
      <w:r w:rsidR="008A1BB7">
        <w:rPr>
          <w:rFonts w:ascii="Times New Roman" w:hAnsi="Times New Roman" w:cs="Times New Roman"/>
        </w:rPr>
        <w:t xml:space="preserve"> determination of who is th</w:t>
      </w:r>
      <w:r w:rsidR="00E114B0">
        <w:rPr>
          <w:rFonts w:ascii="Times New Roman" w:hAnsi="Times New Roman" w:cs="Times New Roman"/>
        </w:rPr>
        <w:t>e likely opportunistic party</w:t>
      </w:r>
      <w:r w:rsidR="00395C7F">
        <w:rPr>
          <w:rFonts w:ascii="Times New Roman" w:hAnsi="Times New Roman" w:cs="Times New Roman"/>
        </w:rPr>
        <w:t xml:space="preserve"> and impose sanctions independently of what the contract appears to require.</w:t>
      </w:r>
      <w:r w:rsidR="00284A8C">
        <w:rPr>
          <w:rStyle w:val="FootnoteReference"/>
          <w:rFonts w:ascii="Times New Roman" w:hAnsi="Times New Roman"/>
        </w:rPr>
        <w:footnoteReference w:id="26"/>
      </w:r>
      <w:r w:rsidR="008A1BB7">
        <w:rPr>
          <w:rFonts w:ascii="Times New Roman" w:hAnsi="Times New Roman" w:cs="Times New Roman"/>
        </w:rPr>
        <w:t xml:space="preserve"> </w:t>
      </w:r>
      <w:r w:rsidR="00395C7F">
        <w:rPr>
          <w:rFonts w:ascii="Times New Roman" w:hAnsi="Times New Roman" w:cs="Times New Roman"/>
        </w:rPr>
        <w:t xml:space="preserve"> </w:t>
      </w:r>
      <w:r w:rsidR="00AE3E73">
        <w:rPr>
          <w:rFonts w:ascii="Times New Roman" w:hAnsi="Times New Roman" w:cs="Times New Roman"/>
        </w:rPr>
        <w:t xml:space="preserve">But before we endorse that approach we must </w:t>
      </w:r>
      <w:r w:rsidR="00E114B0">
        <w:rPr>
          <w:rFonts w:ascii="Times New Roman" w:hAnsi="Times New Roman" w:cs="Times New Roman"/>
        </w:rPr>
        <w:t xml:space="preserve">first </w:t>
      </w:r>
      <w:r w:rsidR="00AE3E73">
        <w:rPr>
          <w:rFonts w:ascii="Times New Roman" w:hAnsi="Times New Roman" w:cs="Times New Roman"/>
        </w:rPr>
        <w:t>answer a</w:t>
      </w:r>
      <w:r w:rsidR="008A1BB7">
        <w:rPr>
          <w:rFonts w:ascii="Times New Roman" w:hAnsi="Times New Roman" w:cs="Times New Roman"/>
        </w:rPr>
        <w:t xml:space="preserve"> key empirical question:  Can generalist courts find the </w:t>
      </w:r>
      <w:proofErr w:type="spellStart"/>
      <w:r w:rsidR="008A1BB7">
        <w:rPr>
          <w:rFonts w:ascii="Times New Roman" w:hAnsi="Times New Roman" w:cs="Times New Roman"/>
        </w:rPr>
        <w:t>shaders</w:t>
      </w:r>
      <w:proofErr w:type="spellEnd"/>
      <w:r w:rsidR="008A1BB7">
        <w:rPr>
          <w:rFonts w:ascii="Times New Roman" w:hAnsi="Times New Roman" w:cs="Times New Roman"/>
        </w:rPr>
        <w:t xml:space="preserve"> among the </w:t>
      </w:r>
      <w:proofErr w:type="spellStart"/>
      <w:r w:rsidR="008A1BB7">
        <w:rPr>
          <w:rFonts w:ascii="Times New Roman" w:hAnsi="Times New Roman" w:cs="Times New Roman"/>
        </w:rPr>
        <w:t>doofuses</w:t>
      </w:r>
      <w:proofErr w:type="spellEnd"/>
      <w:r w:rsidR="008A1BB7">
        <w:rPr>
          <w:rFonts w:ascii="Times New Roman" w:hAnsi="Times New Roman" w:cs="Times New Roman"/>
        </w:rPr>
        <w:t>?  To begin to answer that question, I have assembled a data set of 75 randomly selected contract disputes where</w:t>
      </w:r>
      <w:r w:rsidR="00284A8C">
        <w:rPr>
          <w:rFonts w:ascii="Times New Roman" w:hAnsi="Times New Roman" w:cs="Times New Roman"/>
        </w:rPr>
        <w:t xml:space="preserve"> the issue before the court was “</w:t>
      </w:r>
      <w:r w:rsidR="008A1BB7">
        <w:rPr>
          <w:rFonts w:ascii="Times New Roman" w:hAnsi="Times New Roman" w:cs="Times New Roman"/>
        </w:rPr>
        <w:t>who breached the contract</w:t>
      </w:r>
      <w:r w:rsidR="00284A8C">
        <w:rPr>
          <w:rFonts w:ascii="Times New Roman" w:hAnsi="Times New Roman" w:cs="Times New Roman"/>
        </w:rPr>
        <w:t>”</w:t>
      </w:r>
      <w:r w:rsidR="008A1BB7">
        <w:rPr>
          <w:rFonts w:ascii="Times New Roman" w:hAnsi="Times New Roman" w:cs="Times New Roman"/>
        </w:rPr>
        <w:t>?</w:t>
      </w:r>
      <w:r w:rsidR="008A1BB7" w:rsidRPr="00CF5866">
        <w:rPr>
          <w:rStyle w:val="FootnoteReference"/>
          <w:rFonts w:ascii="Times New Roman" w:hAnsi="Times New Roman"/>
        </w:rPr>
        <w:t xml:space="preserve"> </w:t>
      </w:r>
      <w:r w:rsidR="008A1BB7">
        <w:rPr>
          <w:rFonts w:ascii="Times New Roman" w:hAnsi="Times New Roman"/>
        </w:rPr>
        <w:t xml:space="preserve"> </w:t>
      </w:r>
      <w:r w:rsidR="00C761B2">
        <w:rPr>
          <w:rFonts w:ascii="Times New Roman" w:hAnsi="Times New Roman" w:cs="Times New Roman"/>
        </w:rPr>
        <w:t>I tested two hypotheses</w:t>
      </w:r>
      <w:r w:rsidR="008A1BB7">
        <w:rPr>
          <w:rFonts w:ascii="Times New Roman" w:hAnsi="Times New Roman" w:cs="Times New Roman"/>
        </w:rPr>
        <w:t xml:space="preserve">.  First, that disputes in which a party could plausibly be guilty of either Type I or Type II shading </w:t>
      </w:r>
      <w:proofErr w:type="gramStart"/>
      <w:r w:rsidR="008A1BB7">
        <w:rPr>
          <w:rFonts w:ascii="Times New Roman" w:hAnsi="Times New Roman" w:cs="Times New Roman"/>
        </w:rPr>
        <w:t>are</w:t>
      </w:r>
      <w:proofErr w:type="gramEnd"/>
      <w:r w:rsidR="008A1BB7">
        <w:rPr>
          <w:rFonts w:ascii="Times New Roman" w:hAnsi="Times New Roman" w:cs="Times New Roman"/>
        </w:rPr>
        <w:t xml:space="preserve"> common.  Second, that courts in such cases would not (or could not) reliably identify behavior as opportunistic. The hypothesis that shading disputes are frequent is a function of the fact that disputes of this sort often require a third party to resolve. The second hypothesis rests on the claim that shading behavior requires a court to understand the underlying context of the transaction with sufficient depth so as to identify subtle forms of aberrant behavior. </w:t>
      </w:r>
    </w:p>
    <w:p w14:paraId="56AE5ABD" w14:textId="77777777" w:rsidR="00284A8C" w:rsidRDefault="00284A8C" w:rsidP="00284A8C">
      <w:pPr>
        <w:spacing w:line="360" w:lineRule="auto"/>
        <w:ind w:firstLine="720"/>
        <w:rPr>
          <w:rFonts w:ascii="Times New Roman" w:hAnsi="Times New Roman" w:cs="Times New Roman"/>
        </w:rPr>
      </w:pPr>
    </w:p>
    <w:p w14:paraId="70D06CF2" w14:textId="5B2596DD" w:rsidR="00A1412B" w:rsidRDefault="00A1412B" w:rsidP="00A1412B">
      <w:pPr>
        <w:spacing w:line="360" w:lineRule="auto"/>
        <w:ind w:firstLine="720"/>
        <w:rPr>
          <w:rFonts w:ascii="Times New Roman" w:eastAsia="Times New Roman" w:hAnsi="Times New Roman" w:cs="Times New Roman"/>
          <w:color w:val="222222"/>
          <w:shd w:val="clear" w:color="auto" w:fill="FFFFFF"/>
        </w:rPr>
      </w:pPr>
      <w:r w:rsidRPr="00A1412B">
        <w:rPr>
          <w:rFonts w:ascii="Times New Roman" w:eastAsia="Times New Roman" w:hAnsi="Times New Roman" w:cs="Times New Roman"/>
          <w:color w:val="222222"/>
          <w:shd w:val="clear" w:color="auto" w:fill="FFFFFF"/>
        </w:rPr>
        <w:t>Conceding that there is a considerable amount of judgment involved in my coding of the cases, the tentative findings are consistent with both hypotheses. Of the 66 unique cases, 54 plausibly contained either Type I</w:t>
      </w:r>
      <w:r>
        <w:rPr>
          <w:rFonts w:ascii="Times New Roman" w:eastAsia="Times New Roman" w:hAnsi="Times New Roman" w:cs="Times New Roman"/>
          <w:color w:val="222222"/>
          <w:shd w:val="clear" w:color="auto" w:fill="FFFFFF"/>
        </w:rPr>
        <w:t xml:space="preserve"> </w:t>
      </w:r>
      <w:r w:rsidRPr="00A1412B">
        <w:rPr>
          <w:rFonts w:ascii="Times New Roman" w:eastAsia="Times New Roman" w:hAnsi="Times New Roman" w:cs="Times New Roman"/>
          <w:color w:val="222222"/>
          <w:shd w:val="clear" w:color="auto" w:fill="FFFFFF"/>
        </w:rPr>
        <w:t>or Type II shading. Of these 54 cases, self-interested behavior was alleged in 20 cases. Of these 20 cases, the</w:t>
      </w:r>
      <w:r>
        <w:rPr>
          <w:rFonts w:ascii="Times New Roman" w:eastAsia="Times New Roman" w:hAnsi="Times New Roman" w:cs="Times New Roman"/>
          <w:color w:val="222222"/>
          <w:shd w:val="clear" w:color="auto" w:fill="FFFFFF"/>
        </w:rPr>
        <w:t xml:space="preserve"> </w:t>
      </w:r>
      <w:r w:rsidRPr="00A1412B">
        <w:rPr>
          <w:rFonts w:ascii="Times New Roman" w:eastAsia="Times New Roman" w:hAnsi="Times New Roman" w:cs="Times New Roman"/>
          <w:color w:val="222222"/>
          <w:shd w:val="clear" w:color="auto" w:fill="FFFFFF"/>
        </w:rPr>
        <w:t>deciding court found one party to be behaving opportunistically in only 2 cases.</w:t>
      </w:r>
      <w:r w:rsidRPr="00BF21C9">
        <w:rPr>
          <w:rStyle w:val="FootnoteReference"/>
          <w:rFonts w:ascii="Times New Roman" w:hAnsi="Times New Roman"/>
          <w:sz w:val="22"/>
          <w:szCs w:val="22"/>
        </w:rPr>
        <w:footnoteReference w:id="27"/>
      </w:r>
      <w:r w:rsidRPr="00ED07FE">
        <w:rPr>
          <w:rFonts w:ascii="Times New Roman" w:hAnsi="Times New Roman" w:cs="Times New Roman"/>
          <w:sz w:val="20"/>
          <w:szCs w:val="20"/>
        </w:rPr>
        <w:t xml:space="preserve"> </w:t>
      </w:r>
      <w:r w:rsidRPr="00A1412B">
        <w:rPr>
          <w:rFonts w:ascii="Times New Roman" w:eastAsia="Times New Roman" w:hAnsi="Times New Roman" w:cs="Times New Roman"/>
          <w:color w:val="222222"/>
          <w:shd w:val="clear" w:color="auto" w:fill="FFFFFF"/>
        </w:rPr>
        <w:t xml:space="preserve"> To be sure, these results are </w:t>
      </w:r>
      <w:r w:rsidRPr="00A1412B">
        <w:rPr>
          <w:rFonts w:ascii="Times New Roman" w:eastAsia="Times New Roman" w:hAnsi="Times New Roman" w:cs="Times New Roman"/>
          <w:color w:val="222222"/>
          <w:shd w:val="clear" w:color="auto" w:fill="FFFFFF"/>
        </w:rPr>
        <w:lastRenderedPageBreak/>
        <w:t xml:space="preserve">only suggestive. These courts could be resolving the </w:t>
      </w:r>
      <w:proofErr w:type="spellStart"/>
      <w:r w:rsidRPr="00A1412B">
        <w:rPr>
          <w:rFonts w:ascii="Times New Roman" w:eastAsia="Times New Roman" w:hAnsi="Times New Roman" w:cs="Times New Roman"/>
          <w:color w:val="222222"/>
          <w:shd w:val="clear" w:color="auto" w:fill="FFFFFF"/>
        </w:rPr>
        <w:t>doofus</w:t>
      </w:r>
      <w:proofErr w:type="spellEnd"/>
      <w:r w:rsidRPr="00A1412B">
        <w:rPr>
          <w:rFonts w:ascii="Times New Roman" w:eastAsia="Times New Roman" w:hAnsi="Times New Roman" w:cs="Times New Roman"/>
          <w:color w:val="222222"/>
          <w:shd w:val="clear" w:color="auto" w:fill="FFFFFF"/>
        </w:rPr>
        <w:t>/</w:t>
      </w:r>
      <w:proofErr w:type="spellStart"/>
      <w:r w:rsidRPr="00A1412B">
        <w:rPr>
          <w:rFonts w:ascii="Times New Roman" w:eastAsia="Times New Roman" w:hAnsi="Times New Roman" w:cs="Times New Roman"/>
          <w:color w:val="222222"/>
          <w:shd w:val="clear" w:color="auto" w:fill="FFFFFF"/>
        </w:rPr>
        <w:t>shader</w:t>
      </w:r>
      <w:proofErr w:type="spellEnd"/>
      <w:r w:rsidRPr="00A1412B">
        <w:rPr>
          <w:rFonts w:ascii="Times New Roman" w:eastAsia="Times New Roman" w:hAnsi="Times New Roman" w:cs="Times New Roman"/>
          <w:color w:val="222222"/>
          <w:shd w:val="clear" w:color="auto" w:fill="FFFFFF"/>
        </w:rPr>
        <w:t xml:space="preserve"> decision sub </w:t>
      </w:r>
      <w:proofErr w:type="spellStart"/>
      <w:r w:rsidRPr="00A1412B">
        <w:rPr>
          <w:rFonts w:ascii="Times New Roman" w:eastAsia="Times New Roman" w:hAnsi="Times New Roman" w:cs="Times New Roman"/>
          <w:color w:val="222222"/>
          <w:shd w:val="clear" w:color="auto" w:fill="FFFFFF"/>
        </w:rPr>
        <w:t>rosa</w:t>
      </w:r>
      <w:proofErr w:type="spellEnd"/>
      <w:r w:rsidRPr="00A1412B">
        <w:rPr>
          <w:rFonts w:ascii="Times New Roman" w:eastAsia="Times New Roman" w:hAnsi="Times New Roman" w:cs="Times New Roman"/>
          <w:color w:val="222222"/>
          <w:shd w:val="clear" w:color="auto" w:fill="FFFFFF"/>
        </w:rPr>
        <w:t xml:space="preserve"> but declining to identify it explicitly, and in 6 of the cases where self-interested behavior was alleged, the courts were just deciding appeals from summary judgment or motions to dismiss and did not address the issue of opportunistic behavior. But at best the judicial silence gives us a very noisy signal. </w:t>
      </w:r>
    </w:p>
    <w:p w14:paraId="3C958FDB" w14:textId="77777777" w:rsidR="008A1BB7" w:rsidRDefault="008A1BB7" w:rsidP="00A1412B">
      <w:pPr>
        <w:widowControl w:val="0"/>
        <w:autoSpaceDE w:val="0"/>
        <w:autoSpaceDN w:val="0"/>
        <w:adjustRightInd w:val="0"/>
        <w:spacing w:line="360" w:lineRule="auto"/>
        <w:rPr>
          <w:rFonts w:ascii="Times New Roman" w:hAnsi="Times New Roman" w:cs="Times New Roman"/>
        </w:rPr>
      </w:pPr>
    </w:p>
    <w:p w14:paraId="50BC8FF0" w14:textId="0EB19354" w:rsidR="008A1BB7" w:rsidRPr="00BF21C9" w:rsidRDefault="008A1BB7" w:rsidP="008A1BB7">
      <w:pPr>
        <w:widowControl w:val="0"/>
        <w:autoSpaceDE w:val="0"/>
        <w:autoSpaceDN w:val="0"/>
        <w:adjustRightInd w:val="0"/>
        <w:spacing w:line="360" w:lineRule="auto"/>
        <w:ind w:firstLine="720"/>
        <w:rPr>
          <w:rFonts w:ascii="Times New Roman" w:hAnsi="Times New Roman" w:cs="Times New Roman"/>
          <w:sz w:val="22"/>
          <w:szCs w:val="22"/>
        </w:rPr>
      </w:pPr>
      <w:r>
        <w:rPr>
          <w:rFonts w:ascii="Times New Roman" w:hAnsi="Times New Roman" w:cs="Times New Roman"/>
        </w:rPr>
        <w:t>There is o</w:t>
      </w:r>
      <w:r w:rsidRPr="00EC1A0B">
        <w:rPr>
          <w:rFonts w:ascii="Times New Roman" w:hAnsi="Times New Roman" w:cs="Times New Roman"/>
        </w:rPr>
        <w:t xml:space="preserve">ther data that supports the </w:t>
      </w:r>
      <w:r>
        <w:rPr>
          <w:rFonts w:ascii="Times New Roman" w:hAnsi="Times New Roman" w:cs="Times New Roman"/>
        </w:rPr>
        <w:t>hypothesis</w:t>
      </w:r>
      <w:r w:rsidRPr="00EC1A0B">
        <w:rPr>
          <w:rFonts w:ascii="Times New Roman" w:hAnsi="Times New Roman" w:cs="Times New Roman"/>
        </w:rPr>
        <w:t xml:space="preserve"> that generalist courts are poor candidates for </w:t>
      </w:r>
      <w:r w:rsidR="00395C7F">
        <w:rPr>
          <w:rFonts w:ascii="Times New Roman" w:hAnsi="Times New Roman" w:cs="Times New Roman"/>
        </w:rPr>
        <w:t>using their equity powers to reduce</w:t>
      </w:r>
      <w:r w:rsidRPr="00EC1A0B">
        <w:rPr>
          <w:rFonts w:ascii="Times New Roman" w:hAnsi="Times New Roman" w:cs="Times New Roman"/>
        </w:rPr>
        <w:t xml:space="preserve"> the incidence of oppo</w:t>
      </w:r>
      <w:r>
        <w:rPr>
          <w:rFonts w:ascii="Times New Roman" w:hAnsi="Times New Roman" w:cs="Times New Roman"/>
        </w:rPr>
        <w:t>rtunism.</w:t>
      </w:r>
      <w:r w:rsidRPr="00EC1A0B">
        <w:rPr>
          <w:rFonts w:ascii="Times New Roman" w:hAnsi="Times New Roman" w:cs="Times New Roman"/>
        </w:rPr>
        <w:t xml:space="preserve">  One line of ana</w:t>
      </w:r>
      <w:r>
        <w:rPr>
          <w:rFonts w:ascii="Times New Roman" w:hAnsi="Times New Roman" w:cs="Times New Roman"/>
        </w:rPr>
        <w:t>lysis</w:t>
      </w:r>
      <w:r w:rsidRPr="00EC1A0B">
        <w:rPr>
          <w:rFonts w:ascii="Times New Roman" w:hAnsi="Times New Roman" w:cs="Times New Roman"/>
        </w:rPr>
        <w:t xml:space="preserve"> shows the difficulty of measuring allegedly opportunistic behavior against the norms and customs of the rel</w:t>
      </w:r>
      <w:r>
        <w:rPr>
          <w:rFonts w:ascii="Times New Roman" w:hAnsi="Times New Roman" w:cs="Times New Roman"/>
        </w:rPr>
        <w:t>e</w:t>
      </w:r>
      <w:r w:rsidRPr="00EC1A0B">
        <w:rPr>
          <w:rFonts w:ascii="Times New Roman" w:hAnsi="Times New Roman" w:cs="Times New Roman"/>
        </w:rPr>
        <w:t xml:space="preserve">vant trading community. </w:t>
      </w:r>
      <w:r w:rsidR="00395C7F" w:rsidRPr="00EC1A0B">
        <w:rPr>
          <w:rFonts w:ascii="Times New Roman" w:hAnsi="Times New Roman" w:cs="Times New Roman"/>
        </w:rPr>
        <w:t>Recent research on the medieva</w:t>
      </w:r>
      <w:r w:rsidR="00284A8C">
        <w:rPr>
          <w:rFonts w:ascii="Times New Roman" w:hAnsi="Times New Roman" w:cs="Times New Roman"/>
        </w:rPr>
        <w:t xml:space="preserve">l law merchant by Emily </w:t>
      </w:r>
      <w:proofErr w:type="spellStart"/>
      <w:r w:rsidR="00284A8C">
        <w:rPr>
          <w:rFonts w:ascii="Times New Roman" w:hAnsi="Times New Roman" w:cs="Times New Roman"/>
        </w:rPr>
        <w:t>Kadens</w:t>
      </w:r>
      <w:proofErr w:type="spellEnd"/>
      <w:r w:rsidR="00284A8C">
        <w:rPr>
          <w:rFonts w:ascii="Times New Roman" w:hAnsi="Times New Roman" w:cs="Times New Roman"/>
        </w:rPr>
        <w:t>,</w:t>
      </w:r>
      <w:r w:rsidR="00395C7F">
        <w:rPr>
          <w:rFonts w:ascii="Times New Roman" w:hAnsi="Times New Roman" w:cs="Times New Roman"/>
        </w:rPr>
        <w:t xml:space="preserve"> and </w:t>
      </w:r>
      <w:r w:rsidR="00395C7F" w:rsidRPr="00EC1A0B">
        <w:rPr>
          <w:rFonts w:ascii="Times New Roman" w:hAnsi="Times New Roman" w:cs="Times New Roman"/>
        </w:rPr>
        <w:t>Lisa Bernste</w:t>
      </w:r>
      <w:r w:rsidR="00C761B2">
        <w:rPr>
          <w:rFonts w:ascii="Times New Roman" w:hAnsi="Times New Roman" w:cs="Times New Roman"/>
        </w:rPr>
        <w:t xml:space="preserve">in’s extensive research on </w:t>
      </w:r>
      <w:r w:rsidR="00395C7F" w:rsidRPr="00EC1A0B">
        <w:rPr>
          <w:rFonts w:ascii="Times New Roman" w:hAnsi="Times New Roman" w:cs="Times New Roman"/>
        </w:rPr>
        <w:t>20</w:t>
      </w:r>
      <w:r w:rsidR="00395C7F" w:rsidRPr="00EC1A0B">
        <w:rPr>
          <w:rFonts w:ascii="Times New Roman" w:hAnsi="Times New Roman" w:cs="Times New Roman"/>
          <w:vertAlign w:val="superscript"/>
        </w:rPr>
        <w:t>th</w:t>
      </w:r>
      <w:r w:rsidR="00395C7F" w:rsidRPr="00EC1A0B">
        <w:rPr>
          <w:rFonts w:ascii="Times New Roman" w:hAnsi="Times New Roman" w:cs="Times New Roman"/>
        </w:rPr>
        <w:t xml:space="preserve"> century trade associations</w:t>
      </w:r>
      <w:r w:rsidR="00284A8C">
        <w:rPr>
          <w:rFonts w:ascii="Times New Roman" w:hAnsi="Times New Roman" w:cs="Times New Roman"/>
        </w:rPr>
        <w:t>,</w:t>
      </w:r>
      <w:r w:rsidR="00395C7F" w:rsidRPr="00EC1A0B">
        <w:rPr>
          <w:rFonts w:ascii="Times New Roman" w:hAnsi="Times New Roman" w:cs="Times New Roman"/>
        </w:rPr>
        <w:t xml:space="preserve"> </w:t>
      </w:r>
      <w:r>
        <w:rPr>
          <w:rFonts w:ascii="Times New Roman" w:hAnsi="Times New Roman" w:cs="Times New Roman"/>
        </w:rPr>
        <w:t>has shown</w:t>
      </w:r>
      <w:r w:rsidRPr="00EC1A0B">
        <w:rPr>
          <w:rFonts w:ascii="Times New Roman" w:hAnsi="Times New Roman" w:cs="Times New Roman"/>
        </w:rPr>
        <w:t xml:space="preserve"> that on-going, “traditional” deal</w:t>
      </w:r>
      <w:r w:rsidR="00E114B0">
        <w:rPr>
          <w:rFonts w:ascii="Times New Roman" w:hAnsi="Times New Roman" w:cs="Times New Roman"/>
        </w:rPr>
        <w:t>ings never crystalize into well-</w:t>
      </w:r>
      <w:r w:rsidRPr="00EC1A0B">
        <w:rPr>
          <w:rFonts w:ascii="Times New Roman" w:hAnsi="Times New Roman" w:cs="Times New Roman"/>
        </w:rPr>
        <w:t xml:space="preserve">defined, customary </w:t>
      </w:r>
      <w:r>
        <w:rPr>
          <w:rFonts w:ascii="Times New Roman" w:hAnsi="Times New Roman" w:cs="Times New Roman"/>
        </w:rPr>
        <w:t>usages of trade</w:t>
      </w:r>
      <w:r w:rsidRPr="00EC1A0B">
        <w:rPr>
          <w:rFonts w:ascii="Times New Roman" w:hAnsi="Times New Roman" w:cs="Times New Roman"/>
        </w:rPr>
        <w:t xml:space="preserve"> at all.</w:t>
      </w:r>
      <w:r w:rsidR="000B21F0" w:rsidRPr="00BF21C9">
        <w:rPr>
          <w:rStyle w:val="FootnoteReference"/>
          <w:rFonts w:ascii="Times New Roman" w:hAnsi="Times New Roman"/>
          <w:sz w:val="22"/>
          <w:szCs w:val="22"/>
        </w:rPr>
        <w:footnoteReference w:id="28"/>
      </w:r>
      <w:r w:rsidRPr="00BF21C9">
        <w:rPr>
          <w:rFonts w:ascii="Times New Roman" w:hAnsi="Times New Roman" w:cs="Times New Roman"/>
          <w:sz w:val="22"/>
          <w:szCs w:val="22"/>
        </w:rPr>
        <w:t xml:space="preserve"> </w:t>
      </w:r>
      <w:r w:rsidR="00284A8C">
        <w:rPr>
          <w:rFonts w:ascii="Times New Roman" w:hAnsi="Times New Roman" w:cs="Times New Roman"/>
          <w:sz w:val="22"/>
          <w:szCs w:val="22"/>
        </w:rPr>
        <w:t xml:space="preserve"> </w:t>
      </w:r>
      <w:r w:rsidRPr="00EC1A0B">
        <w:rPr>
          <w:rFonts w:ascii="Times New Roman" w:hAnsi="Times New Roman" w:cs="Times New Roman"/>
        </w:rPr>
        <w:t xml:space="preserve">This evidence suggests that many courts, </w:t>
      </w:r>
      <w:r w:rsidR="00C9327E">
        <w:rPr>
          <w:rFonts w:ascii="Times New Roman" w:hAnsi="Times New Roman" w:cs="Times New Roman"/>
        </w:rPr>
        <w:t xml:space="preserve">when </w:t>
      </w:r>
      <w:r w:rsidR="00C761B2">
        <w:rPr>
          <w:rFonts w:ascii="Times New Roman" w:hAnsi="Times New Roman" w:cs="Times New Roman"/>
        </w:rPr>
        <w:t>asked to identify a trade usage</w:t>
      </w:r>
      <w:r w:rsidRPr="00EC1A0B">
        <w:rPr>
          <w:rFonts w:ascii="Times New Roman" w:hAnsi="Times New Roman" w:cs="Times New Roman"/>
        </w:rPr>
        <w:t xml:space="preserve">, </w:t>
      </w:r>
      <w:r w:rsidR="00C761B2">
        <w:rPr>
          <w:rFonts w:ascii="Times New Roman" w:hAnsi="Times New Roman" w:cs="Times New Roman"/>
        </w:rPr>
        <w:t>rely exclusively on</w:t>
      </w:r>
      <w:r w:rsidRPr="00EC1A0B">
        <w:rPr>
          <w:rFonts w:ascii="Times New Roman" w:hAnsi="Times New Roman" w:cs="Times New Roman"/>
        </w:rPr>
        <w:t xml:space="preserve"> interested party testimony rather than </w:t>
      </w:r>
      <w:r w:rsidR="00C761B2">
        <w:rPr>
          <w:rFonts w:ascii="Times New Roman" w:hAnsi="Times New Roman" w:cs="Times New Roman"/>
        </w:rPr>
        <w:t xml:space="preserve">on </w:t>
      </w:r>
      <w:r w:rsidRPr="00EC1A0B">
        <w:rPr>
          <w:rFonts w:ascii="Times New Roman" w:hAnsi="Times New Roman" w:cs="Times New Roman"/>
        </w:rPr>
        <w:t>a careful evaluation of complex evidentiary submissions</w:t>
      </w:r>
      <w:r w:rsidR="000B21F0">
        <w:rPr>
          <w:rFonts w:ascii="Times New Roman" w:hAnsi="Times New Roman" w:cs="Times New Roman"/>
        </w:rPr>
        <w:t xml:space="preserve">.  For example, </w:t>
      </w:r>
      <w:r w:rsidR="00ED07FE">
        <w:rPr>
          <w:rFonts w:ascii="Times New Roman" w:hAnsi="Times New Roman" w:cs="Times New Roman"/>
        </w:rPr>
        <w:t xml:space="preserve">evidence of a usage of trade as to the reasonable time for delivery may turn on </w:t>
      </w:r>
      <w:r w:rsidR="000B21F0">
        <w:rPr>
          <w:rFonts w:ascii="Times New Roman" w:hAnsi="Times New Roman" w:cs="Times New Roman"/>
        </w:rPr>
        <w:t>th</w:t>
      </w:r>
      <w:r w:rsidR="00ED07FE">
        <w:rPr>
          <w:rFonts w:ascii="Times New Roman" w:hAnsi="Times New Roman" w:cs="Times New Roman"/>
        </w:rPr>
        <w:t>e plaintiff’s warehouse manager’s testimony</w:t>
      </w:r>
      <w:r w:rsidR="000B21F0">
        <w:rPr>
          <w:rFonts w:ascii="Times New Roman" w:hAnsi="Times New Roman" w:cs="Times New Roman"/>
        </w:rPr>
        <w:t xml:space="preserve"> that shipments usually arrive within three days</w:t>
      </w:r>
      <w:r w:rsidRPr="00EC1A0B">
        <w:rPr>
          <w:rFonts w:ascii="Times New Roman" w:hAnsi="Times New Roman" w:cs="Times New Roman"/>
        </w:rPr>
        <w:t xml:space="preserve">. </w:t>
      </w:r>
      <w:r>
        <w:rPr>
          <w:rFonts w:ascii="Times New Roman" w:hAnsi="Times New Roman" w:cs="Times New Roman"/>
        </w:rPr>
        <w:t xml:space="preserve"> </w:t>
      </w:r>
      <w:r w:rsidRPr="009379B4">
        <w:rPr>
          <w:rFonts w:ascii="Times New Roman" w:hAnsi="Times New Roman" w:cs="Times New Roman"/>
        </w:rPr>
        <w:t>In short, there is virtually no evidence that courts</w:t>
      </w:r>
      <w:r>
        <w:rPr>
          <w:rFonts w:ascii="Times New Roman" w:hAnsi="Times New Roman" w:cs="Times New Roman"/>
        </w:rPr>
        <w:t xml:space="preserve"> undertake the empirical investigations needed</w:t>
      </w:r>
      <w:r w:rsidRPr="009379B4">
        <w:rPr>
          <w:rFonts w:ascii="Times New Roman" w:hAnsi="Times New Roman" w:cs="Times New Roman"/>
        </w:rPr>
        <w:t xml:space="preserve"> to </w:t>
      </w:r>
      <w:r w:rsidR="00041072">
        <w:rPr>
          <w:rFonts w:ascii="Times New Roman" w:hAnsi="Times New Roman" w:cs="Times New Roman"/>
        </w:rPr>
        <w:t>find a rele</w:t>
      </w:r>
      <w:r w:rsidR="00C761B2">
        <w:rPr>
          <w:rFonts w:ascii="Times New Roman" w:hAnsi="Times New Roman" w:cs="Times New Roman"/>
        </w:rPr>
        <w:t xml:space="preserve">vant custom and </w:t>
      </w:r>
      <w:r w:rsidR="00E114B0">
        <w:rPr>
          <w:rFonts w:ascii="Times New Roman" w:hAnsi="Times New Roman" w:cs="Times New Roman"/>
        </w:rPr>
        <w:t xml:space="preserve">then </w:t>
      </w:r>
      <w:r w:rsidR="00C761B2">
        <w:rPr>
          <w:rFonts w:ascii="Times New Roman" w:hAnsi="Times New Roman" w:cs="Times New Roman"/>
        </w:rPr>
        <w:t xml:space="preserve">use </w:t>
      </w:r>
      <w:r w:rsidR="00ED07FE">
        <w:rPr>
          <w:rFonts w:ascii="Times New Roman" w:hAnsi="Times New Roman" w:cs="Times New Roman"/>
        </w:rPr>
        <w:t>the resulting norm</w:t>
      </w:r>
      <w:r w:rsidR="00C761B2">
        <w:rPr>
          <w:rFonts w:ascii="Times New Roman" w:hAnsi="Times New Roman" w:cs="Times New Roman"/>
        </w:rPr>
        <w:t xml:space="preserve"> to </w:t>
      </w:r>
      <w:r w:rsidR="00E114B0">
        <w:rPr>
          <w:rFonts w:ascii="Times New Roman" w:hAnsi="Times New Roman" w:cs="Times New Roman"/>
        </w:rPr>
        <w:t>identify</w:t>
      </w:r>
      <w:r>
        <w:rPr>
          <w:rFonts w:ascii="Times New Roman" w:hAnsi="Times New Roman" w:cs="Times New Roman"/>
        </w:rPr>
        <w:t xml:space="preserve"> opportunistic behavior</w:t>
      </w:r>
      <w:r w:rsidRPr="009379B4">
        <w:rPr>
          <w:rFonts w:ascii="Times New Roman" w:hAnsi="Times New Roman" w:cs="Times New Roman"/>
        </w:rPr>
        <w:t xml:space="preserve"> and</w:t>
      </w:r>
      <w:r w:rsidR="00041072">
        <w:rPr>
          <w:rFonts w:ascii="Times New Roman" w:hAnsi="Times New Roman" w:cs="Times New Roman"/>
        </w:rPr>
        <w:t xml:space="preserve"> even less</w:t>
      </w:r>
      <w:r w:rsidRPr="009379B4">
        <w:rPr>
          <w:rFonts w:ascii="Times New Roman" w:hAnsi="Times New Roman" w:cs="Times New Roman"/>
        </w:rPr>
        <w:t xml:space="preserve"> reason to imagine they could succeed if </w:t>
      </w:r>
      <w:r w:rsidRPr="009379B4">
        <w:rPr>
          <w:rFonts w:ascii="Times New Roman" w:hAnsi="Times New Roman" w:cs="Times New Roman"/>
        </w:rPr>
        <w:lastRenderedPageBreak/>
        <w:t>they did.</w:t>
      </w:r>
      <w:r w:rsidR="00882653" w:rsidRPr="00BF21C9">
        <w:rPr>
          <w:rStyle w:val="FootnoteReference"/>
          <w:rFonts w:ascii="Times New Roman" w:hAnsi="Times New Roman"/>
          <w:sz w:val="22"/>
          <w:szCs w:val="22"/>
        </w:rPr>
        <w:footnoteReference w:id="29"/>
      </w:r>
      <w:r w:rsidR="00ED07FE">
        <w:rPr>
          <w:rFonts w:ascii="Times New Roman" w:hAnsi="Times New Roman" w:cs="Times New Roman"/>
        </w:rPr>
        <w:t xml:space="preserve"> </w:t>
      </w:r>
      <w:r w:rsidRPr="00ED07FE">
        <w:rPr>
          <w:rFonts w:ascii="Times New Roman" w:hAnsi="Times New Roman" w:cs="Times New Roman"/>
          <w:sz w:val="20"/>
          <w:szCs w:val="20"/>
        </w:rPr>
        <w:t xml:space="preserve"> </w:t>
      </w:r>
      <w:r w:rsidRPr="009379B4">
        <w:rPr>
          <w:rFonts w:ascii="Times New Roman" w:hAnsi="Times New Roman" w:cs="Times New Roman"/>
        </w:rPr>
        <w:t>Long-term, reciprocal relations always reflect the idiosyncrasies of the histori</w:t>
      </w:r>
      <w:r>
        <w:rPr>
          <w:rFonts w:ascii="Times New Roman" w:hAnsi="Times New Roman" w:cs="Times New Roman"/>
        </w:rPr>
        <w:t>es of each party with the others</w:t>
      </w:r>
      <w:r w:rsidRPr="009379B4">
        <w:rPr>
          <w:rFonts w:ascii="Times New Roman" w:hAnsi="Times New Roman" w:cs="Times New Roman"/>
        </w:rPr>
        <w:t xml:space="preserve">; and these idiosyncrasies prevent the community’s practice from settling into a determinate </w:t>
      </w:r>
      <w:r w:rsidR="00041072">
        <w:rPr>
          <w:rFonts w:ascii="Times New Roman" w:hAnsi="Times New Roman" w:cs="Times New Roman"/>
        </w:rPr>
        <w:t>custom or practice</w:t>
      </w:r>
      <w:r w:rsidRPr="009379B4">
        <w:rPr>
          <w:rFonts w:ascii="Times New Roman" w:hAnsi="Times New Roman" w:cs="Times New Roman"/>
        </w:rPr>
        <w:t>.</w:t>
      </w:r>
      <w:r>
        <w:rPr>
          <w:rFonts w:ascii="Times New Roman" w:hAnsi="Times New Roman"/>
        </w:rPr>
        <w:t xml:space="preserve"> </w:t>
      </w:r>
      <w:r w:rsidRPr="009379B4">
        <w:rPr>
          <w:rFonts w:ascii="Times New Roman" w:hAnsi="Times New Roman" w:cs="Times New Roman"/>
        </w:rPr>
        <w:t xml:space="preserve"> Thus, even if generalist courts were better equipped for empirical investigation than they normally are</w:t>
      </w:r>
      <w:proofErr w:type="gramStart"/>
      <w:r w:rsidRPr="009379B4">
        <w:rPr>
          <w:rFonts w:ascii="Times New Roman" w:hAnsi="Times New Roman" w:cs="Times New Roman"/>
        </w:rPr>
        <w:t>,</w:t>
      </w:r>
      <w:proofErr w:type="gramEnd"/>
      <w:r w:rsidRPr="009379B4">
        <w:rPr>
          <w:rFonts w:ascii="Times New Roman" w:hAnsi="Times New Roman" w:cs="Times New Roman"/>
        </w:rPr>
        <w:t xml:space="preserve"> there will typically be no</w:t>
      </w:r>
      <w:r>
        <w:rPr>
          <w:rFonts w:ascii="Times New Roman" w:hAnsi="Times New Roman" w:cs="Times New Roman"/>
        </w:rPr>
        <w:t xml:space="preserve"> custom-based, context embedded</w:t>
      </w:r>
      <w:r w:rsidRPr="009379B4">
        <w:rPr>
          <w:rFonts w:ascii="Times New Roman" w:hAnsi="Times New Roman" w:cs="Times New Roman"/>
        </w:rPr>
        <w:t xml:space="preserve"> </w:t>
      </w:r>
      <w:r>
        <w:rPr>
          <w:rFonts w:ascii="Times New Roman" w:hAnsi="Times New Roman" w:cs="Times New Roman"/>
        </w:rPr>
        <w:t>usage or practice</w:t>
      </w:r>
      <w:r w:rsidRPr="009379B4">
        <w:rPr>
          <w:rFonts w:ascii="Times New Roman" w:hAnsi="Times New Roman" w:cs="Times New Roman"/>
        </w:rPr>
        <w:t xml:space="preserve"> for them to discover</w:t>
      </w:r>
      <w:r>
        <w:rPr>
          <w:rFonts w:ascii="Times New Roman" w:hAnsi="Times New Roman" w:cs="Times New Roman"/>
        </w:rPr>
        <w:t xml:space="preserve"> and use in evaluating a litigating party’s actions</w:t>
      </w:r>
      <w:r w:rsidRPr="00BF21C9">
        <w:rPr>
          <w:rFonts w:ascii="Times New Roman" w:hAnsi="Times New Roman" w:cs="Times New Roman"/>
          <w:sz w:val="22"/>
          <w:szCs w:val="22"/>
        </w:rPr>
        <w:t>.</w:t>
      </w:r>
      <w:r w:rsidR="000458AB" w:rsidRPr="00BF21C9">
        <w:rPr>
          <w:rStyle w:val="FootnoteReference"/>
          <w:rFonts w:ascii="Times New Roman" w:hAnsi="Times New Roman"/>
          <w:sz w:val="22"/>
          <w:szCs w:val="22"/>
        </w:rPr>
        <w:footnoteReference w:id="30"/>
      </w:r>
    </w:p>
    <w:p w14:paraId="4BB0CD16" w14:textId="77777777" w:rsidR="008A1BB7" w:rsidRDefault="008A1BB7" w:rsidP="00AE3E73">
      <w:pPr>
        <w:spacing w:line="360" w:lineRule="auto"/>
        <w:rPr>
          <w:rFonts w:ascii="Times New Roman" w:hAnsi="Times New Roman" w:cs="Times New Roman"/>
        </w:rPr>
      </w:pPr>
    </w:p>
    <w:p w14:paraId="777079D4" w14:textId="20FF17A9" w:rsidR="00B16462" w:rsidRDefault="00412F91" w:rsidP="00E9296A">
      <w:pPr>
        <w:spacing w:line="360" w:lineRule="auto"/>
        <w:ind w:firstLine="720"/>
        <w:rPr>
          <w:rFonts w:ascii="Times New Roman" w:hAnsi="Times New Roman" w:cs="Times New Roman"/>
        </w:rPr>
      </w:pPr>
      <w:r>
        <w:rPr>
          <w:rFonts w:ascii="Times New Roman" w:hAnsi="Times New Roman" w:cs="Times New Roman"/>
        </w:rPr>
        <w:t>H</w:t>
      </w:r>
      <w:r w:rsidR="00B16462">
        <w:rPr>
          <w:rFonts w:ascii="Times New Roman" w:hAnsi="Times New Roman" w:cs="Times New Roman"/>
        </w:rPr>
        <w:t>ere</w:t>
      </w:r>
      <w:r w:rsidR="003B1985">
        <w:rPr>
          <w:rFonts w:ascii="Times New Roman" w:hAnsi="Times New Roman" w:cs="Times New Roman"/>
        </w:rPr>
        <w:t>,</w:t>
      </w:r>
      <w:r w:rsidR="00041072">
        <w:rPr>
          <w:rFonts w:ascii="Times New Roman" w:hAnsi="Times New Roman" w:cs="Times New Roman"/>
        </w:rPr>
        <w:t xml:space="preserve"> then</w:t>
      </w:r>
      <w:r w:rsidR="003B1985">
        <w:rPr>
          <w:rFonts w:ascii="Times New Roman" w:hAnsi="Times New Roman" w:cs="Times New Roman"/>
        </w:rPr>
        <w:t>,</w:t>
      </w:r>
      <w:r w:rsidR="00041072">
        <w:rPr>
          <w:rFonts w:ascii="Times New Roman" w:hAnsi="Times New Roman" w:cs="Times New Roman"/>
        </w:rPr>
        <w:t xml:space="preserve"> is the dilemma:</w:t>
      </w:r>
      <w:r w:rsidR="00B16462">
        <w:rPr>
          <w:rFonts w:ascii="Times New Roman" w:hAnsi="Times New Roman" w:cs="Times New Roman"/>
        </w:rPr>
        <w:t xml:space="preserve"> enforcing contracts requires interpretation which means the courts </w:t>
      </w:r>
      <w:r w:rsidR="00041072">
        <w:rPr>
          <w:rFonts w:ascii="Times New Roman" w:hAnsi="Times New Roman" w:cs="Times New Roman"/>
        </w:rPr>
        <w:t xml:space="preserve">are </w:t>
      </w:r>
      <w:r w:rsidR="00C9327E">
        <w:rPr>
          <w:rFonts w:ascii="Times New Roman" w:hAnsi="Times New Roman" w:cs="Times New Roman"/>
        </w:rPr>
        <w:t>asked</w:t>
      </w:r>
      <w:r w:rsidR="00041072">
        <w:rPr>
          <w:rFonts w:ascii="Times New Roman" w:hAnsi="Times New Roman" w:cs="Times New Roman"/>
        </w:rPr>
        <w:t xml:space="preserve"> </w:t>
      </w:r>
      <w:r w:rsidR="00AE3E73">
        <w:rPr>
          <w:rFonts w:ascii="Times New Roman" w:hAnsi="Times New Roman" w:cs="Times New Roman"/>
        </w:rPr>
        <w:t xml:space="preserve">to </w:t>
      </w:r>
      <w:r w:rsidR="00B16462">
        <w:rPr>
          <w:rFonts w:ascii="Times New Roman" w:hAnsi="Times New Roman" w:cs="Times New Roman"/>
        </w:rPr>
        <w:t xml:space="preserve">police shading behavior, </w:t>
      </w:r>
      <w:r w:rsidR="00E9296A">
        <w:rPr>
          <w:rFonts w:ascii="Times New Roman" w:hAnsi="Times New Roman" w:cs="Times New Roman"/>
        </w:rPr>
        <w:t>but doing so often leads to errors</w:t>
      </w:r>
      <w:r w:rsidR="00041072">
        <w:rPr>
          <w:rFonts w:ascii="Times New Roman" w:hAnsi="Times New Roman" w:cs="Times New Roman"/>
        </w:rPr>
        <w:t xml:space="preserve"> because the courts are asked to do more than they are </w:t>
      </w:r>
      <w:r w:rsidR="000B21F0">
        <w:rPr>
          <w:rFonts w:ascii="Times New Roman" w:hAnsi="Times New Roman" w:cs="Times New Roman"/>
        </w:rPr>
        <w:t xml:space="preserve">able </w:t>
      </w:r>
      <w:r w:rsidR="00041072">
        <w:rPr>
          <w:rFonts w:ascii="Times New Roman" w:hAnsi="Times New Roman" w:cs="Times New Roman"/>
        </w:rPr>
        <w:t>to do.</w:t>
      </w:r>
      <w:r w:rsidR="000458AB" w:rsidRPr="00BF21C9">
        <w:rPr>
          <w:rStyle w:val="FootnoteReference"/>
          <w:rFonts w:ascii="Times New Roman" w:hAnsi="Times New Roman"/>
          <w:sz w:val="22"/>
          <w:szCs w:val="22"/>
        </w:rPr>
        <w:footnoteReference w:id="31"/>
      </w:r>
      <w:r w:rsidR="000458AB" w:rsidRPr="003B1985">
        <w:rPr>
          <w:rFonts w:ascii="Times New Roman" w:hAnsi="Times New Roman" w:cs="Times New Roman"/>
          <w:sz w:val="20"/>
          <w:szCs w:val="20"/>
        </w:rPr>
        <w:t xml:space="preserve"> </w:t>
      </w:r>
      <w:r w:rsidR="00041072">
        <w:rPr>
          <w:rFonts w:ascii="Times New Roman" w:hAnsi="Times New Roman" w:cs="Times New Roman"/>
        </w:rPr>
        <w:t xml:space="preserve"> Let’s call this “the Goldilocks problem.”  Left to their </w:t>
      </w:r>
      <w:r w:rsidR="00AE1581">
        <w:rPr>
          <w:rFonts w:ascii="Times New Roman" w:hAnsi="Times New Roman" w:cs="Times New Roman"/>
        </w:rPr>
        <w:t>own devices</w:t>
      </w:r>
      <w:r w:rsidR="003B1985">
        <w:rPr>
          <w:rFonts w:ascii="Times New Roman" w:hAnsi="Times New Roman" w:cs="Times New Roman"/>
        </w:rPr>
        <w:t>,</w:t>
      </w:r>
      <w:r w:rsidR="00AE1581">
        <w:rPr>
          <w:rFonts w:ascii="Times New Roman" w:hAnsi="Times New Roman" w:cs="Times New Roman"/>
        </w:rPr>
        <w:t xml:space="preserve"> courts</w:t>
      </w:r>
      <w:r w:rsidR="006943D9">
        <w:rPr>
          <w:rFonts w:ascii="Times New Roman" w:hAnsi="Times New Roman" w:cs="Times New Roman"/>
        </w:rPr>
        <w:t xml:space="preserve"> either</w:t>
      </w:r>
      <w:r w:rsidR="00AE1581">
        <w:rPr>
          <w:rFonts w:ascii="Times New Roman" w:hAnsi="Times New Roman" w:cs="Times New Roman"/>
        </w:rPr>
        <w:t xml:space="preserve"> will intervene </w:t>
      </w:r>
      <w:r w:rsidR="00041072">
        <w:rPr>
          <w:rFonts w:ascii="Times New Roman" w:hAnsi="Times New Roman" w:cs="Times New Roman"/>
        </w:rPr>
        <w:t>too much or too little</w:t>
      </w:r>
      <w:r w:rsidR="00AE1581">
        <w:rPr>
          <w:rFonts w:ascii="Times New Roman" w:hAnsi="Times New Roman" w:cs="Times New Roman"/>
        </w:rPr>
        <w:t>.</w:t>
      </w:r>
      <w:r w:rsidR="00041072">
        <w:rPr>
          <w:rFonts w:ascii="Times New Roman" w:hAnsi="Times New Roman" w:cs="Times New Roman"/>
        </w:rPr>
        <w:t xml:space="preserve">  </w:t>
      </w:r>
      <w:r w:rsidR="006943D9">
        <w:rPr>
          <w:rFonts w:ascii="Times New Roman" w:hAnsi="Times New Roman" w:cs="Times New Roman"/>
        </w:rPr>
        <w:t>So, w</w:t>
      </w:r>
      <w:r w:rsidR="00041072">
        <w:rPr>
          <w:rFonts w:ascii="Times New Roman" w:hAnsi="Times New Roman" w:cs="Times New Roman"/>
        </w:rPr>
        <w:t xml:space="preserve">hat is the alternative?  </w:t>
      </w:r>
      <w:r w:rsidR="00C9327E">
        <w:rPr>
          <w:rFonts w:ascii="Times New Roman" w:hAnsi="Times New Roman" w:cs="Times New Roman"/>
        </w:rPr>
        <w:t xml:space="preserve">How do we get just the right amount of judicial policing of contracts?  My argument is </w:t>
      </w:r>
      <w:r w:rsidR="00041072">
        <w:rPr>
          <w:rFonts w:ascii="Times New Roman" w:hAnsi="Times New Roman" w:cs="Times New Roman"/>
        </w:rPr>
        <w:t xml:space="preserve">that </w:t>
      </w:r>
      <w:r w:rsidR="00B16462">
        <w:rPr>
          <w:rFonts w:ascii="Times New Roman" w:hAnsi="Times New Roman" w:cs="Times New Roman"/>
        </w:rPr>
        <w:t xml:space="preserve">sophisticated contracting parties </w:t>
      </w:r>
      <w:r w:rsidR="00041072">
        <w:rPr>
          <w:rFonts w:ascii="Times New Roman" w:hAnsi="Times New Roman" w:cs="Times New Roman"/>
        </w:rPr>
        <w:t xml:space="preserve">and their lawyers </w:t>
      </w:r>
      <w:r w:rsidR="00AE1581">
        <w:rPr>
          <w:rFonts w:ascii="Times New Roman" w:hAnsi="Times New Roman" w:cs="Times New Roman"/>
        </w:rPr>
        <w:t>can</w:t>
      </w:r>
      <w:r w:rsidR="00C9327E">
        <w:rPr>
          <w:rFonts w:ascii="Times New Roman" w:hAnsi="Times New Roman" w:cs="Times New Roman"/>
        </w:rPr>
        <w:t xml:space="preserve">, in fact, </w:t>
      </w:r>
      <w:r w:rsidR="006943D9">
        <w:rPr>
          <w:rFonts w:ascii="Times New Roman" w:hAnsi="Times New Roman" w:cs="Times New Roman"/>
        </w:rPr>
        <w:t xml:space="preserve">design </w:t>
      </w:r>
      <w:r w:rsidR="00B16462">
        <w:rPr>
          <w:rFonts w:ascii="Times New Roman" w:hAnsi="Times New Roman" w:cs="Times New Roman"/>
        </w:rPr>
        <w:t xml:space="preserve">their contracts </w:t>
      </w:r>
      <w:r w:rsidR="00041072">
        <w:rPr>
          <w:rFonts w:ascii="Times New Roman" w:hAnsi="Times New Roman" w:cs="Times New Roman"/>
        </w:rPr>
        <w:t>in way</w:t>
      </w:r>
      <w:r w:rsidR="006943D9">
        <w:rPr>
          <w:rFonts w:ascii="Times New Roman" w:hAnsi="Times New Roman" w:cs="Times New Roman"/>
        </w:rPr>
        <w:t>s</w:t>
      </w:r>
      <w:r w:rsidR="00041072">
        <w:rPr>
          <w:rFonts w:ascii="Times New Roman" w:hAnsi="Times New Roman" w:cs="Times New Roman"/>
        </w:rPr>
        <w:t xml:space="preserve"> that</w:t>
      </w:r>
      <w:r w:rsidR="00B16462">
        <w:rPr>
          <w:rFonts w:ascii="Times New Roman" w:hAnsi="Times New Roman" w:cs="Times New Roman"/>
        </w:rPr>
        <w:t xml:space="preserve"> invite a court to perform this policing function </w:t>
      </w:r>
      <w:r w:rsidR="00E9296A">
        <w:rPr>
          <w:rFonts w:ascii="Times New Roman" w:hAnsi="Times New Roman" w:cs="Times New Roman"/>
        </w:rPr>
        <w:t xml:space="preserve">only when </w:t>
      </w:r>
      <w:r w:rsidR="00041072">
        <w:rPr>
          <w:rFonts w:ascii="Times New Roman" w:hAnsi="Times New Roman" w:cs="Times New Roman"/>
        </w:rPr>
        <w:t>the court</w:t>
      </w:r>
      <w:r w:rsidR="00E9296A">
        <w:rPr>
          <w:rFonts w:ascii="Times New Roman" w:hAnsi="Times New Roman" w:cs="Times New Roman"/>
        </w:rPr>
        <w:t xml:space="preserve"> is likely to get the question right.</w:t>
      </w:r>
    </w:p>
    <w:p w14:paraId="30FEBA38" w14:textId="77777777" w:rsidR="00B16462" w:rsidRDefault="00B16462" w:rsidP="00B16462">
      <w:pPr>
        <w:spacing w:line="360" w:lineRule="auto"/>
        <w:ind w:firstLine="720"/>
        <w:rPr>
          <w:rFonts w:ascii="Times New Roman" w:hAnsi="Times New Roman" w:cs="Times New Roman"/>
        </w:rPr>
      </w:pPr>
      <w:r>
        <w:rPr>
          <w:rFonts w:ascii="Times New Roman" w:hAnsi="Times New Roman" w:cs="Times New Roman"/>
        </w:rPr>
        <w:t xml:space="preserve"> </w:t>
      </w:r>
    </w:p>
    <w:p w14:paraId="6EB5D092" w14:textId="77777777" w:rsidR="00A35F79" w:rsidRDefault="00A35F79" w:rsidP="00B16462">
      <w:pPr>
        <w:spacing w:line="360" w:lineRule="auto"/>
        <w:ind w:firstLine="720"/>
        <w:rPr>
          <w:rFonts w:ascii="Times New Roman" w:hAnsi="Times New Roman" w:cs="Times New Roman"/>
        </w:rPr>
      </w:pPr>
    </w:p>
    <w:p w14:paraId="500F6F38" w14:textId="77777777" w:rsidR="00A35F79" w:rsidRDefault="00A35F79" w:rsidP="00B16462">
      <w:pPr>
        <w:spacing w:line="360" w:lineRule="auto"/>
        <w:ind w:firstLine="720"/>
        <w:rPr>
          <w:rFonts w:ascii="Times New Roman" w:hAnsi="Times New Roman" w:cs="Times New Roman"/>
        </w:rPr>
      </w:pPr>
    </w:p>
    <w:p w14:paraId="0991F81F" w14:textId="14ECCEBE" w:rsidR="008A1BB9" w:rsidRPr="00423360" w:rsidRDefault="008A1BB9" w:rsidP="008A1BB9">
      <w:pPr>
        <w:spacing w:line="360" w:lineRule="auto"/>
        <w:ind w:firstLine="720"/>
        <w:jc w:val="center"/>
        <w:rPr>
          <w:rFonts w:ascii="Times New Roman" w:hAnsi="Times New Roman" w:cs="Times New Roman"/>
          <w:b/>
          <w:bCs/>
          <w:smallCaps/>
        </w:rPr>
      </w:pPr>
      <w:r w:rsidRPr="00423360">
        <w:rPr>
          <w:rFonts w:ascii="Times New Roman" w:hAnsi="Times New Roman" w:cs="Times New Roman"/>
          <w:b/>
          <w:bCs/>
          <w:smallCaps/>
        </w:rPr>
        <w:lastRenderedPageBreak/>
        <w:t>III.</w:t>
      </w:r>
      <w:r w:rsidR="00B962B8" w:rsidRPr="00423360">
        <w:rPr>
          <w:rFonts w:ascii="Times New Roman" w:hAnsi="Times New Roman" w:cs="Times New Roman"/>
          <w:b/>
          <w:bCs/>
          <w:smallCaps/>
        </w:rPr>
        <w:t xml:space="preserve"> Policing Shading at Common Law</w:t>
      </w:r>
    </w:p>
    <w:p w14:paraId="251379BC" w14:textId="77777777" w:rsidR="008A1BB9" w:rsidRPr="008A1BB9" w:rsidRDefault="008A1BB9" w:rsidP="008A1BB9">
      <w:pPr>
        <w:spacing w:line="360" w:lineRule="auto"/>
        <w:ind w:firstLine="720"/>
        <w:jc w:val="center"/>
        <w:rPr>
          <w:rFonts w:ascii="Times New Roman" w:hAnsi="Times New Roman" w:cs="Times New Roman"/>
          <w:b/>
        </w:rPr>
      </w:pPr>
    </w:p>
    <w:p w14:paraId="373AC817" w14:textId="20F0D26F" w:rsidR="00B16462" w:rsidRPr="00C14AE6" w:rsidRDefault="00FB0A77" w:rsidP="00B1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360" w:lineRule="auto"/>
        <w:ind w:firstLine="720"/>
        <w:rPr>
          <w:rFonts w:ascii="Times New Roman" w:hAnsi="Times New Roman" w:cs="Times New Roman"/>
        </w:rPr>
      </w:pPr>
      <w:r>
        <w:rPr>
          <w:rFonts w:ascii="Times New Roman" w:hAnsi="Times New Roman" w:cs="Times New Roman"/>
        </w:rPr>
        <w:t xml:space="preserve">But before we look at the ways </w:t>
      </w:r>
      <w:r w:rsidR="00BF21C9">
        <w:rPr>
          <w:rFonts w:ascii="Times New Roman" w:hAnsi="Times New Roman" w:cs="Times New Roman"/>
        </w:rPr>
        <w:t>contemporary commercial parties</w:t>
      </w:r>
      <w:r>
        <w:rPr>
          <w:rFonts w:ascii="Times New Roman" w:hAnsi="Times New Roman" w:cs="Times New Roman"/>
        </w:rPr>
        <w:t xml:space="preserve"> can accomplish this task, we</w:t>
      </w:r>
      <w:r w:rsidR="00412F91">
        <w:rPr>
          <w:rFonts w:ascii="Times New Roman" w:hAnsi="Times New Roman" w:cs="Times New Roman"/>
        </w:rPr>
        <w:t xml:space="preserve"> should remember </w:t>
      </w:r>
      <w:r>
        <w:rPr>
          <w:rFonts w:ascii="Times New Roman" w:hAnsi="Times New Roman" w:cs="Times New Roman"/>
        </w:rPr>
        <w:t xml:space="preserve">that </w:t>
      </w:r>
      <w:r w:rsidR="00412F91">
        <w:rPr>
          <w:rFonts w:ascii="Times New Roman" w:hAnsi="Times New Roman" w:cs="Times New Roman"/>
        </w:rPr>
        <w:t xml:space="preserve">the problem was not always this severe.  </w:t>
      </w:r>
      <w:r w:rsidR="00B16462">
        <w:rPr>
          <w:rFonts w:ascii="Times New Roman" w:hAnsi="Times New Roman" w:cs="Times New Roman"/>
        </w:rPr>
        <w:t>At early common law, the Goldilocks problem was contained by virtue of the historic division of roles between law and equity.</w:t>
      </w:r>
      <w:r w:rsidR="00EA64ED" w:rsidRPr="00BF21C9">
        <w:rPr>
          <w:rStyle w:val="FootnoteReference"/>
          <w:rFonts w:ascii="Times New Roman" w:hAnsi="Times New Roman"/>
          <w:sz w:val="22"/>
          <w:szCs w:val="22"/>
        </w:rPr>
        <w:footnoteReference w:id="32"/>
      </w:r>
      <w:r w:rsidR="00B16462" w:rsidRPr="00BF21C9">
        <w:rPr>
          <w:rFonts w:ascii="Times New Roman" w:hAnsi="Times New Roman" w:cs="Times New Roman"/>
          <w:sz w:val="22"/>
          <w:szCs w:val="22"/>
        </w:rPr>
        <w:t xml:space="preserve">  </w:t>
      </w:r>
      <w:r w:rsidR="00B16462" w:rsidRPr="00C14AE6">
        <w:rPr>
          <w:rFonts w:ascii="Times New Roman" w:hAnsi="Times New Roman" w:cs="Times New Roman"/>
        </w:rPr>
        <w:t xml:space="preserve">Historically, the English common law applied two different sets of doctrines to interpret a disputed contract. The first consisted of rules – such as the </w:t>
      </w:r>
      <w:proofErr w:type="spellStart"/>
      <w:r w:rsidR="00B16462" w:rsidRPr="00C14AE6">
        <w:rPr>
          <w:rFonts w:ascii="Times New Roman" w:hAnsi="Times New Roman" w:cs="Times New Roman"/>
        </w:rPr>
        <w:t>parol</w:t>
      </w:r>
      <w:proofErr w:type="spellEnd"/>
      <w:r w:rsidR="00B16462" w:rsidRPr="00C14AE6">
        <w:rPr>
          <w:rFonts w:ascii="Times New Roman" w:hAnsi="Times New Roman" w:cs="Times New Roman"/>
        </w:rPr>
        <w:t xml:space="preserve"> evidence and plain meaning rules </w:t>
      </w:r>
      <w:r>
        <w:rPr>
          <w:rFonts w:ascii="Times New Roman" w:hAnsi="Times New Roman" w:cs="Times New Roman"/>
        </w:rPr>
        <w:t>–</w:t>
      </w:r>
      <w:r w:rsidR="00B16462" w:rsidRPr="00C14AE6">
        <w:rPr>
          <w:rFonts w:ascii="Times New Roman" w:hAnsi="Times New Roman" w:cs="Times New Roman"/>
        </w:rPr>
        <w:t xml:space="preserve"> </w:t>
      </w:r>
      <w:r>
        <w:rPr>
          <w:rFonts w:ascii="Times New Roman" w:hAnsi="Times New Roman" w:cs="Times New Roman"/>
        </w:rPr>
        <w:t xml:space="preserve">that were </w:t>
      </w:r>
      <w:r w:rsidR="00B16462" w:rsidRPr="00C14AE6">
        <w:rPr>
          <w:rFonts w:ascii="Times New Roman" w:hAnsi="Times New Roman" w:cs="Times New Roman"/>
        </w:rPr>
        <w:t>cast in objective terms that minimized the need for subjective judgment in their application.  They were administered strictly, without exceptions for cases in which the application of a rule appeared to defeat its purpose. These doctrines originated in the first seven centuries of adjudication in King’s Bench and Common Pleas, the English courts that produced the corpus of the common law from the twelfth to the nineteenth century.</w:t>
      </w:r>
      <w:r w:rsidR="00CD6CA3">
        <w:rPr>
          <w:rStyle w:val="FootnoteReference"/>
          <w:rFonts w:ascii="Times New Roman" w:hAnsi="Times New Roman"/>
        </w:rPr>
        <w:footnoteReference w:id="33"/>
      </w:r>
      <w:r w:rsidR="00B16462" w:rsidRPr="00C14AE6">
        <w:rPr>
          <w:rFonts w:ascii="Times New Roman" w:hAnsi="Times New Roman" w:cs="Times New Roman"/>
        </w:rPr>
        <w:t xml:space="preserve"> The second set of doctrines consisted largely of equitable principles originating in the English Court of Chancery, which, by the end of the fourteenth century, began to exercise overlapping jurisdiction with the common law courts to hear cases that “in the ordinary course of law failed to provide justice.”</w:t>
      </w:r>
      <w:r w:rsidR="00291A84">
        <w:rPr>
          <w:rStyle w:val="FootnoteReference"/>
          <w:rFonts w:ascii="Times New Roman" w:hAnsi="Times New Roman"/>
        </w:rPr>
        <w:footnoteReference w:id="34"/>
      </w:r>
      <w:r w:rsidR="00B16462" w:rsidRPr="00C14AE6">
        <w:rPr>
          <w:rStyle w:val="FootnoteReference"/>
          <w:rFonts w:ascii="Times New Roman" w:hAnsi="Times New Roman"/>
        </w:rPr>
        <w:t xml:space="preserve"> </w:t>
      </w:r>
      <w:r w:rsidR="00B16462" w:rsidRPr="00C14AE6">
        <w:rPr>
          <w:rFonts w:ascii="Times New Roman" w:hAnsi="Times New Roman" w:cs="Times New Roman"/>
        </w:rPr>
        <w:t xml:space="preserve"> These doctrines were framed as broad principles administered loosely, and were designed to provide exceptions to the common law interpretive rules.  They were generally cast in subjective terms and therefore </w:t>
      </w:r>
      <w:r w:rsidR="006943D9">
        <w:rPr>
          <w:rFonts w:ascii="Times New Roman" w:hAnsi="Times New Roman" w:cs="Times New Roman"/>
        </w:rPr>
        <w:t>required judges to exercise</w:t>
      </w:r>
      <w:r w:rsidR="00B16462" w:rsidRPr="00C14AE6">
        <w:rPr>
          <w:rFonts w:ascii="Times New Roman" w:hAnsi="Times New Roman" w:cs="Times New Roman"/>
        </w:rPr>
        <w:t xml:space="preserve"> judgment by evaluating the </w:t>
      </w:r>
      <w:r w:rsidR="00B16462">
        <w:rPr>
          <w:rFonts w:ascii="Times New Roman" w:hAnsi="Times New Roman" w:cs="Times New Roman"/>
        </w:rPr>
        <w:t>fairness or the “equities”</w:t>
      </w:r>
      <w:r w:rsidR="00B16462" w:rsidRPr="00C14AE6">
        <w:rPr>
          <w:rFonts w:ascii="Times New Roman" w:hAnsi="Times New Roman" w:cs="Times New Roman"/>
        </w:rPr>
        <w:t xml:space="preserve"> of the particular transaction.</w:t>
      </w:r>
    </w:p>
    <w:p w14:paraId="651AFAB6" w14:textId="77777777" w:rsidR="00B16462" w:rsidRPr="00C14AE6" w:rsidRDefault="00B16462" w:rsidP="00B1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360" w:lineRule="auto"/>
        <w:ind w:firstLine="720"/>
        <w:rPr>
          <w:rFonts w:ascii="Times New Roman" w:hAnsi="Times New Roman" w:cs="Times New Roman"/>
        </w:rPr>
      </w:pPr>
    </w:p>
    <w:p w14:paraId="137EFAA0" w14:textId="1ED17571" w:rsidR="00B16462" w:rsidRDefault="00B16462" w:rsidP="00BC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360" w:lineRule="auto"/>
        <w:ind w:firstLine="720"/>
        <w:rPr>
          <w:rFonts w:ascii="Times New Roman" w:hAnsi="Times New Roman" w:cs="Times New Roman"/>
        </w:rPr>
      </w:pPr>
      <w:r w:rsidRPr="00C14AE6">
        <w:rPr>
          <w:rFonts w:ascii="Times New Roman" w:hAnsi="Times New Roman" w:cs="Times New Roman"/>
        </w:rPr>
        <w:t>The Chancery’s willingness to provide an independent and alternative forum stemmed from the perception that the c</w:t>
      </w:r>
      <w:r>
        <w:rPr>
          <w:rFonts w:ascii="Times New Roman" w:hAnsi="Times New Roman" w:cs="Times New Roman"/>
        </w:rPr>
        <w:t xml:space="preserve">ommon law courts were incapable of policing </w:t>
      </w:r>
      <w:r w:rsidR="00FB0A77">
        <w:rPr>
          <w:rFonts w:ascii="Times New Roman" w:hAnsi="Times New Roman" w:cs="Times New Roman"/>
        </w:rPr>
        <w:lastRenderedPageBreak/>
        <w:t>opportunism</w:t>
      </w:r>
      <w:r>
        <w:rPr>
          <w:rFonts w:ascii="Times New Roman" w:hAnsi="Times New Roman" w:cs="Times New Roman"/>
        </w:rPr>
        <w:t xml:space="preserve"> because of</w:t>
      </w:r>
      <w:r w:rsidRPr="00C14AE6">
        <w:rPr>
          <w:rFonts w:ascii="Times New Roman" w:hAnsi="Times New Roman" w:cs="Times New Roman"/>
        </w:rPr>
        <w:t xml:space="preserve"> the strict, rule-bound inclination of common law judges to apply the common law rigorously without reference to the context of the case</w:t>
      </w:r>
      <w:r>
        <w:rPr>
          <w:rFonts w:ascii="Times New Roman" w:hAnsi="Times New Roman" w:cs="Times New Roman"/>
        </w:rPr>
        <w:t xml:space="preserve"> at hand</w:t>
      </w:r>
      <w:r w:rsidRPr="00C14AE6">
        <w:rPr>
          <w:rFonts w:ascii="Times New Roman" w:hAnsi="Times New Roman" w:cs="Times New Roman"/>
        </w:rPr>
        <w:t>.</w:t>
      </w:r>
      <w:r w:rsidR="00373BBC">
        <w:rPr>
          <w:rStyle w:val="FootnoteReference"/>
          <w:rFonts w:ascii="Times New Roman" w:hAnsi="Times New Roman"/>
        </w:rPr>
        <w:footnoteReference w:id="35"/>
      </w:r>
      <w:r w:rsidRPr="00C14AE6">
        <w:rPr>
          <w:rFonts w:ascii="Times New Roman" w:hAnsi="Times New Roman" w:cs="Times New Roman"/>
        </w:rPr>
        <w:t xml:space="preserve"> </w:t>
      </w:r>
      <w:r w:rsidR="00BF21C9">
        <w:rPr>
          <w:rFonts w:ascii="Times New Roman" w:hAnsi="Times New Roman" w:cs="Times New Roman"/>
        </w:rPr>
        <w:t xml:space="preserve"> </w:t>
      </w:r>
      <w:r w:rsidRPr="00C14AE6">
        <w:rPr>
          <w:rFonts w:ascii="Times New Roman" w:hAnsi="Times New Roman" w:cs="Times New Roman"/>
        </w:rPr>
        <w:t xml:space="preserve">The Chancery’s sole focus </w:t>
      </w:r>
      <w:r w:rsidR="00FB0A77">
        <w:rPr>
          <w:rFonts w:ascii="Times New Roman" w:hAnsi="Times New Roman" w:cs="Times New Roman"/>
        </w:rPr>
        <w:t xml:space="preserve">in contrast </w:t>
      </w:r>
      <w:r w:rsidRPr="00C14AE6">
        <w:rPr>
          <w:rFonts w:ascii="Times New Roman" w:hAnsi="Times New Roman" w:cs="Times New Roman"/>
        </w:rPr>
        <w:t xml:space="preserve">was with </w:t>
      </w:r>
      <w:r w:rsidR="00FB0A77">
        <w:rPr>
          <w:rFonts w:ascii="Times New Roman" w:hAnsi="Times New Roman" w:cs="Times New Roman"/>
        </w:rPr>
        <w:t>the equities of the case at bar.</w:t>
      </w:r>
      <w:r w:rsidR="00412F91">
        <w:rPr>
          <w:rFonts w:ascii="Times New Roman" w:hAnsi="Times New Roman" w:cs="Times New Roman"/>
        </w:rPr>
        <w:t xml:space="preserve"> </w:t>
      </w:r>
      <w:r w:rsidRPr="00C14AE6">
        <w:rPr>
          <w:rFonts w:ascii="Times New Roman" w:hAnsi="Times New Roman" w:cs="Times New Roman"/>
        </w:rPr>
        <w:t xml:space="preserve"> Indeed, for many years the Chancery’s decrees had no formal precedential effect, which initially freed the Chancery from any concern that its </w:t>
      </w:r>
      <w:r w:rsidR="00FB0A77">
        <w:rPr>
          <w:rFonts w:ascii="Times New Roman" w:hAnsi="Times New Roman" w:cs="Times New Roman"/>
        </w:rPr>
        <w:t xml:space="preserve">context-specific </w:t>
      </w:r>
      <w:r w:rsidRPr="00C14AE6">
        <w:rPr>
          <w:rFonts w:ascii="Times New Roman" w:hAnsi="Times New Roman" w:cs="Times New Roman"/>
        </w:rPr>
        <w:t xml:space="preserve">rulings could undermine the consistency and predictability of </w:t>
      </w:r>
      <w:r>
        <w:rPr>
          <w:rFonts w:ascii="Times New Roman" w:hAnsi="Times New Roman" w:cs="Times New Roman"/>
        </w:rPr>
        <w:t>contracting</w:t>
      </w:r>
      <w:r w:rsidRPr="00C14AE6">
        <w:rPr>
          <w:rFonts w:ascii="Times New Roman" w:hAnsi="Times New Roman" w:cs="Times New Roman"/>
        </w:rPr>
        <w:t>.</w:t>
      </w:r>
      <w:r w:rsidR="00CD6CA3">
        <w:rPr>
          <w:rStyle w:val="FootnoteReference"/>
          <w:rFonts w:ascii="Times New Roman" w:hAnsi="Times New Roman"/>
        </w:rPr>
        <w:footnoteReference w:id="36"/>
      </w:r>
      <w:r w:rsidR="00412F91">
        <w:rPr>
          <w:rFonts w:ascii="Times New Roman" w:hAnsi="Times New Roman" w:cs="Times New Roman"/>
        </w:rPr>
        <w:t xml:space="preserve">  And, important for our purposes</w:t>
      </w:r>
      <w:r w:rsidR="008E5E7B">
        <w:rPr>
          <w:rFonts w:ascii="Times New Roman" w:hAnsi="Times New Roman" w:cs="Times New Roman"/>
        </w:rPr>
        <w:t>, there was one key additional factor:</w:t>
      </w:r>
      <w:r w:rsidRPr="00C14AE6">
        <w:rPr>
          <w:rFonts w:ascii="Times New Roman" w:hAnsi="Times New Roman" w:cs="Times New Roman"/>
        </w:rPr>
        <w:t xml:space="preserve"> in pre-industrial England, the Chancery was more intimately familiar with the contextual environment of typical party disputes and could fairly sort relevant from irrelevant facts. Thus, even though the Chancery reversed or avoided outcomes dictated by the interpretive rules,</w:t>
      </w:r>
      <w:r>
        <w:rPr>
          <w:rFonts w:ascii="Times New Roman" w:hAnsi="Times New Roman"/>
        </w:rPr>
        <w:t xml:space="preserve"> </w:t>
      </w:r>
      <w:r w:rsidRPr="00C14AE6">
        <w:rPr>
          <w:rFonts w:ascii="Times New Roman" w:hAnsi="Times New Roman" w:cs="Times New Roman"/>
        </w:rPr>
        <w:t xml:space="preserve">these actions could be seen as necessary in order to vindicate, rather than undermine, the common law. </w:t>
      </w:r>
    </w:p>
    <w:p w14:paraId="42749877" w14:textId="77777777" w:rsidR="00BF21C9" w:rsidRPr="00BC4733" w:rsidRDefault="00BF21C9" w:rsidP="00BC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360" w:lineRule="auto"/>
        <w:ind w:firstLine="720"/>
        <w:rPr>
          <w:rFonts w:ascii="Times New Roman" w:hAnsi="Times New Roman" w:cs="Times New Roman"/>
        </w:rPr>
      </w:pPr>
    </w:p>
    <w:p w14:paraId="5A9FEAF9" w14:textId="1731ED3E" w:rsidR="00540044" w:rsidRDefault="00B16462" w:rsidP="00412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360" w:lineRule="auto"/>
        <w:ind w:firstLine="720"/>
        <w:rPr>
          <w:rFonts w:ascii="Times New Roman" w:hAnsi="Times New Roman" w:cs="Times New Roman"/>
        </w:rPr>
      </w:pPr>
      <w:r w:rsidRPr="006661CC">
        <w:rPr>
          <w:rFonts w:ascii="Times New Roman" w:hAnsi="Times New Roman" w:cs="Times New Roman"/>
        </w:rPr>
        <w:t>Fundamentally, however, the institutions of the common law and the Chancery were at cross-purposes. The result was two competing systems, often with incompatible procedural and substantive doctrines, yet overlapping in jurisdiction.</w:t>
      </w:r>
      <w:r w:rsidR="008A2F56">
        <w:rPr>
          <w:rStyle w:val="FootnoteReference"/>
          <w:rFonts w:ascii="Times New Roman" w:hAnsi="Times New Roman"/>
        </w:rPr>
        <w:footnoteReference w:id="37"/>
      </w:r>
      <w:r>
        <w:rPr>
          <w:rFonts w:ascii="Times New Roman" w:hAnsi="Times New Roman" w:cs="Times New Roman"/>
        </w:rPr>
        <w:t xml:space="preserve">  The ultimate result of the merger of law and equity meant that the institutional framework of the state could no longer, by itself, solve the Goldilocks problem. </w:t>
      </w:r>
      <w:r w:rsidR="00540044">
        <w:rPr>
          <w:rFonts w:ascii="Times New Roman" w:hAnsi="Times New Roman" w:cs="Times New Roman"/>
        </w:rPr>
        <w:t xml:space="preserve"> </w:t>
      </w:r>
      <w:r w:rsidR="00E9296A">
        <w:rPr>
          <w:rFonts w:ascii="Times New Roman" w:hAnsi="Times New Roman" w:cs="Times New Roman"/>
        </w:rPr>
        <w:t xml:space="preserve">In consequence, </w:t>
      </w:r>
      <w:r w:rsidR="00540044" w:rsidRPr="00927569">
        <w:rPr>
          <w:rFonts w:ascii="Times New Roman" w:hAnsi="Times New Roman" w:cs="Times New Roman"/>
        </w:rPr>
        <w:t xml:space="preserve">commercial parties </w:t>
      </w:r>
      <w:r w:rsidR="00412F91">
        <w:rPr>
          <w:rFonts w:ascii="Times New Roman" w:hAnsi="Times New Roman" w:cs="Times New Roman"/>
        </w:rPr>
        <w:t xml:space="preserve">today </w:t>
      </w:r>
      <w:r w:rsidR="00540044" w:rsidRPr="00927569">
        <w:rPr>
          <w:rFonts w:ascii="Times New Roman" w:hAnsi="Times New Roman" w:cs="Times New Roman"/>
        </w:rPr>
        <w:t xml:space="preserve">are likely to be poorly served </w:t>
      </w:r>
      <w:r w:rsidR="00540044">
        <w:rPr>
          <w:rFonts w:ascii="Times New Roman" w:hAnsi="Times New Roman" w:cs="Times New Roman"/>
        </w:rPr>
        <w:t xml:space="preserve">if they choose to rely </w:t>
      </w:r>
      <w:r w:rsidR="00540044" w:rsidRPr="00927569">
        <w:rPr>
          <w:rFonts w:ascii="Times New Roman" w:hAnsi="Times New Roman" w:cs="Times New Roman"/>
        </w:rPr>
        <w:t xml:space="preserve">on </w:t>
      </w:r>
      <w:r w:rsidR="00FB0A77">
        <w:rPr>
          <w:rFonts w:ascii="Times New Roman" w:hAnsi="Times New Roman" w:cs="Times New Roman"/>
        </w:rPr>
        <w:t xml:space="preserve">subjective, </w:t>
      </w:r>
      <w:r w:rsidR="00540044" w:rsidRPr="00927569">
        <w:rPr>
          <w:rFonts w:ascii="Times New Roman" w:hAnsi="Times New Roman" w:cs="Times New Roman"/>
        </w:rPr>
        <w:t xml:space="preserve">equitable review by </w:t>
      </w:r>
      <w:r w:rsidR="00412F91">
        <w:rPr>
          <w:rFonts w:ascii="Times New Roman" w:hAnsi="Times New Roman" w:cs="Times New Roman"/>
        </w:rPr>
        <w:t xml:space="preserve">contemporary </w:t>
      </w:r>
      <w:r w:rsidR="00540044" w:rsidRPr="00927569">
        <w:rPr>
          <w:rFonts w:ascii="Times New Roman" w:hAnsi="Times New Roman" w:cs="Times New Roman"/>
        </w:rPr>
        <w:t>courts</w:t>
      </w:r>
      <w:r w:rsidR="00540044">
        <w:rPr>
          <w:rFonts w:ascii="Times New Roman" w:hAnsi="Times New Roman" w:cs="Times New Roman"/>
        </w:rPr>
        <w:t>.  L</w:t>
      </w:r>
      <w:r w:rsidR="00540044" w:rsidRPr="00927569">
        <w:rPr>
          <w:rFonts w:ascii="Times New Roman" w:hAnsi="Times New Roman" w:cs="Times New Roman"/>
        </w:rPr>
        <w:t xml:space="preserve">acking the requisite specialization, courts </w:t>
      </w:r>
      <w:r w:rsidR="00FB0A77">
        <w:rPr>
          <w:rFonts w:ascii="Times New Roman" w:hAnsi="Times New Roman" w:cs="Times New Roman"/>
        </w:rPr>
        <w:t>today are</w:t>
      </w:r>
      <w:r w:rsidR="00540044" w:rsidRPr="00927569">
        <w:rPr>
          <w:rFonts w:ascii="Times New Roman" w:hAnsi="Times New Roman" w:cs="Times New Roman"/>
        </w:rPr>
        <w:t xml:space="preserve"> relatively ineffective at</w:t>
      </w:r>
      <w:r w:rsidR="004F2DED">
        <w:rPr>
          <w:rFonts w:ascii="Times New Roman" w:hAnsi="Times New Roman" w:cs="Times New Roman"/>
        </w:rPr>
        <w:t xml:space="preserve"> uncovering</w:t>
      </w:r>
      <w:r w:rsidR="00540044" w:rsidRPr="00927569">
        <w:rPr>
          <w:rFonts w:ascii="Times New Roman" w:hAnsi="Times New Roman" w:cs="Times New Roman"/>
        </w:rPr>
        <w:t xml:space="preserve"> </w:t>
      </w:r>
      <w:r w:rsidR="00540044">
        <w:rPr>
          <w:rFonts w:ascii="Times New Roman" w:hAnsi="Times New Roman" w:cs="Times New Roman"/>
        </w:rPr>
        <w:t xml:space="preserve">the </w:t>
      </w:r>
      <w:r w:rsidR="004F2DED">
        <w:rPr>
          <w:rFonts w:ascii="Times New Roman" w:hAnsi="Times New Roman" w:cs="Times New Roman"/>
        </w:rPr>
        <w:t xml:space="preserve">underlying </w:t>
      </w:r>
      <w:r w:rsidR="00540044" w:rsidRPr="00927569">
        <w:rPr>
          <w:rFonts w:ascii="Times New Roman" w:hAnsi="Times New Roman" w:cs="Times New Roman"/>
        </w:rPr>
        <w:t xml:space="preserve">context </w:t>
      </w:r>
      <w:r w:rsidR="004F2DED">
        <w:rPr>
          <w:rFonts w:ascii="Times New Roman" w:hAnsi="Times New Roman" w:cs="Times New Roman"/>
        </w:rPr>
        <w:t xml:space="preserve">that is </w:t>
      </w:r>
      <w:r w:rsidR="00FB0A77">
        <w:rPr>
          <w:rFonts w:ascii="Times New Roman" w:hAnsi="Times New Roman" w:cs="Times New Roman"/>
        </w:rPr>
        <w:t>essential</w:t>
      </w:r>
      <w:r w:rsidR="004F2DED">
        <w:rPr>
          <w:rFonts w:ascii="Times New Roman" w:hAnsi="Times New Roman" w:cs="Times New Roman"/>
        </w:rPr>
        <w:t xml:space="preserve"> if they are to police</w:t>
      </w:r>
      <w:r w:rsidR="00540044">
        <w:rPr>
          <w:rFonts w:ascii="Times New Roman" w:hAnsi="Times New Roman" w:cs="Times New Roman"/>
        </w:rPr>
        <w:t xml:space="preserve"> opportunism</w:t>
      </w:r>
      <w:r w:rsidR="006943D9">
        <w:rPr>
          <w:rFonts w:ascii="Times New Roman" w:hAnsi="Times New Roman" w:cs="Times New Roman"/>
        </w:rPr>
        <w:t xml:space="preserve"> effectively</w:t>
      </w:r>
      <w:r w:rsidR="00540044" w:rsidRPr="00927569">
        <w:rPr>
          <w:rFonts w:ascii="Times New Roman" w:hAnsi="Times New Roman" w:cs="Times New Roman"/>
        </w:rPr>
        <w:t xml:space="preserve">.  </w:t>
      </w:r>
      <w:r w:rsidR="00540044" w:rsidRPr="009379B4">
        <w:rPr>
          <w:rFonts w:ascii="Times New Roman" w:hAnsi="Times New Roman" w:cs="Times New Roman"/>
        </w:rPr>
        <w:t xml:space="preserve">In contrast to early courts of equity, when the courts </w:t>
      </w:r>
      <w:r w:rsidR="00540044" w:rsidRPr="009379B4">
        <w:rPr>
          <w:rFonts w:ascii="Times New Roman" w:hAnsi="Times New Roman" w:cs="Times New Roman"/>
        </w:rPr>
        <w:lastRenderedPageBreak/>
        <w:t>were close to the actors in a largely homogenous economy, generalist courts today are removed from the enormously varied commercial contra</w:t>
      </w:r>
      <w:r w:rsidR="00FB0A77">
        <w:rPr>
          <w:rFonts w:ascii="Times New Roman" w:hAnsi="Times New Roman" w:cs="Times New Roman"/>
        </w:rPr>
        <w:t>cting context in modern economie</w:t>
      </w:r>
      <w:r w:rsidR="00540044" w:rsidRPr="009379B4">
        <w:rPr>
          <w:rFonts w:ascii="Times New Roman" w:hAnsi="Times New Roman" w:cs="Times New Roman"/>
        </w:rPr>
        <w:t xml:space="preserve">s and therefore </w:t>
      </w:r>
      <w:r w:rsidR="00FB0A77">
        <w:rPr>
          <w:rFonts w:ascii="Times New Roman" w:hAnsi="Times New Roman" w:cs="Times New Roman"/>
        </w:rPr>
        <w:t xml:space="preserve">are </w:t>
      </w:r>
      <w:r w:rsidR="00540044" w:rsidRPr="009379B4">
        <w:rPr>
          <w:rFonts w:ascii="Times New Roman" w:hAnsi="Times New Roman" w:cs="Times New Roman"/>
        </w:rPr>
        <w:t xml:space="preserve">critically impaired in their ability to divine how and when parties </w:t>
      </w:r>
      <w:r w:rsidR="00FB0A77">
        <w:rPr>
          <w:rFonts w:ascii="Times New Roman" w:hAnsi="Times New Roman" w:cs="Times New Roman"/>
        </w:rPr>
        <w:t xml:space="preserve">might </w:t>
      </w:r>
      <w:r w:rsidR="00540044">
        <w:rPr>
          <w:rFonts w:ascii="Times New Roman" w:hAnsi="Times New Roman" w:cs="Times New Roman"/>
        </w:rPr>
        <w:t>seek to exploit the uncertainties of ex post interpretation.</w:t>
      </w:r>
    </w:p>
    <w:p w14:paraId="63DB0F2C" w14:textId="77777777" w:rsidR="00540044" w:rsidRDefault="00540044" w:rsidP="00540044">
      <w:pPr>
        <w:spacing w:line="360" w:lineRule="auto"/>
        <w:ind w:firstLine="720"/>
        <w:rPr>
          <w:rFonts w:ascii="Times New Roman" w:hAnsi="Times New Roman" w:cs="Times New Roman"/>
        </w:rPr>
      </w:pPr>
    </w:p>
    <w:p w14:paraId="233E6DDD" w14:textId="75694FB9" w:rsidR="00C14AE6" w:rsidRPr="006661CC" w:rsidRDefault="00FB0A77" w:rsidP="00C14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360" w:lineRule="auto"/>
        <w:ind w:firstLine="720"/>
        <w:rPr>
          <w:rFonts w:ascii="Times New Roman" w:hAnsi="Times New Roman" w:cs="Times New Roman"/>
        </w:rPr>
      </w:pPr>
      <w:r>
        <w:rPr>
          <w:rFonts w:ascii="Times New Roman" w:hAnsi="Times New Roman" w:cs="Times New Roman"/>
        </w:rPr>
        <w:t>So,</w:t>
      </w:r>
      <w:r w:rsidR="006661CC">
        <w:rPr>
          <w:rFonts w:ascii="Times New Roman" w:hAnsi="Times New Roman" w:cs="Times New Roman"/>
        </w:rPr>
        <w:t xml:space="preserve"> </w:t>
      </w:r>
      <w:r w:rsidR="00606877">
        <w:rPr>
          <w:rFonts w:ascii="Times New Roman" w:hAnsi="Times New Roman" w:cs="Times New Roman"/>
        </w:rPr>
        <w:t>let’s abandon</w:t>
      </w:r>
      <w:r w:rsidR="00C519D2">
        <w:rPr>
          <w:rFonts w:ascii="Times New Roman" w:hAnsi="Times New Roman" w:cs="Times New Roman"/>
        </w:rPr>
        <w:t xml:space="preserve"> the </w:t>
      </w:r>
      <w:r w:rsidR="00FB631B">
        <w:rPr>
          <w:rFonts w:ascii="Times New Roman" w:hAnsi="Times New Roman" w:cs="Times New Roman"/>
        </w:rPr>
        <w:t xml:space="preserve">ex post </w:t>
      </w:r>
      <w:r w:rsidR="004448AA">
        <w:rPr>
          <w:rFonts w:ascii="Times New Roman" w:hAnsi="Times New Roman" w:cs="Times New Roman"/>
        </w:rPr>
        <w:t>question</w:t>
      </w:r>
      <w:r w:rsidR="006827E1">
        <w:rPr>
          <w:rFonts w:ascii="Times New Roman" w:hAnsi="Times New Roman" w:cs="Times New Roman"/>
        </w:rPr>
        <w:t xml:space="preserve"> that asks</w:t>
      </w:r>
      <w:r w:rsidR="00E114B0">
        <w:rPr>
          <w:rFonts w:ascii="Times New Roman" w:hAnsi="Times New Roman" w:cs="Times New Roman"/>
        </w:rPr>
        <w:t xml:space="preserve"> </w:t>
      </w:r>
      <w:r>
        <w:rPr>
          <w:rFonts w:ascii="Times New Roman" w:hAnsi="Times New Roman" w:cs="Times New Roman"/>
        </w:rPr>
        <w:t>what contract doctrines best help</w:t>
      </w:r>
      <w:r w:rsidR="00EC4FAE">
        <w:rPr>
          <w:rFonts w:ascii="Times New Roman" w:hAnsi="Times New Roman" w:cs="Times New Roman"/>
        </w:rPr>
        <w:t xml:space="preserve"> </w:t>
      </w:r>
      <w:r w:rsidR="006661CC">
        <w:rPr>
          <w:rFonts w:ascii="Times New Roman" w:hAnsi="Times New Roman" w:cs="Times New Roman"/>
        </w:rPr>
        <w:t>courts determine when to intervene to deter opportunism</w:t>
      </w:r>
      <w:r w:rsidR="00E114B0">
        <w:rPr>
          <w:rFonts w:ascii="Times New Roman" w:hAnsi="Times New Roman" w:cs="Times New Roman"/>
        </w:rPr>
        <w:t xml:space="preserve">? </w:t>
      </w:r>
      <w:r w:rsidR="006661CC">
        <w:rPr>
          <w:rFonts w:ascii="Times New Roman" w:hAnsi="Times New Roman" w:cs="Times New Roman"/>
        </w:rPr>
        <w:t xml:space="preserve"> Rather, </w:t>
      </w:r>
      <w:r w:rsidR="00EC4FAE">
        <w:rPr>
          <w:rFonts w:ascii="Times New Roman" w:hAnsi="Times New Roman" w:cs="Times New Roman"/>
        </w:rPr>
        <w:t xml:space="preserve">let’s ask the question from the </w:t>
      </w:r>
      <w:r w:rsidR="00FB631B">
        <w:rPr>
          <w:rFonts w:ascii="Times New Roman" w:hAnsi="Times New Roman" w:cs="Times New Roman"/>
        </w:rPr>
        <w:t xml:space="preserve">ex ante </w:t>
      </w:r>
      <w:r w:rsidR="00EC4FAE">
        <w:rPr>
          <w:rFonts w:ascii="Times New Roman" w:hAnsi="Times New Roman" w:cs="Times New Roman"/>
        </w:rPr>
        <w:t xml:space="preserve">perspective: </w:t>
      </w:r>
      <w:r w:rsidR="008A1B1D">
        <w:rPr>
          <w:rFonts w:ascii="Times New Roman" w:hAnsi="Times New Roman" w:cs="Times New Roman"/>
        </w:rPr>
        <w:t xml:space="preserve">how </w:t>
      </w:r>
      <w:r>
        <w:rPr>
          <w:rFonts w:ascii="Times New Roman" w:hAnsi="Times New Roman" w:cs="Times New Roman"/>
        </w:rPr>
        <w:t>can we</w:t>
      </w:r>
      <w:r w:rsidR="006661CC">
        <w:rPr>
          <w:rFonts w:ascii="Times New Roman" w:hAnsi="Times New Roman" w:cs="Times New Roman"/>
        </w:rPr>
        <w:t xml:space="preserve"> desig</w:t>
      </w:r>
      <w:r w:rsidR="003933E1">
        <w:rPr>
          <w:rFonts w:ascii="Times New Roman" w:hAnsi="Times New Roman" w:cs="Times New Roman"/>
        </w:rPr>
        <w:t>n a contract that appropriately</w:t>
      </w:r>
      <w:r w:rsidR="00C519D2">
        <w:rPr>
          <w:rFonts w:ascii="Times New Roman" w:hAnsi="Times New Roman" w:cs="Times New Roman"/>
        </w:rPr>
        <w:t xml:space="preserve"> limits the</w:t>
      </w:r>
      <w:r w:rsidR="006661CC">
        <w:rPr>
          <w:rFonts w:ascii="Times New Roman" w:hAnsi="Times New Roman" w:cs="Times New Roman"/>
        </w:rPr>
        <w:t xml:space="preserve"> </w:t>
      </w:r>
      <w:r>
        <w:rPr>
          <w:rFonts w:ascii="Times New Roman" w:hAnsi="Times New Roman" w:cs="Times New Roman"/>
        </w:rPr>
        <w:t xml:space="preserve">risk of opportunism and thus </w:t>
      </w:r>
      <w:r w:rsidR="005B1CD8">
        <w:rPr>
          <w:rFonts w:ascii="Times New Roman" w:hAnsi="Times New Roman" w:cs="Times New Roman"/>
        </w:rPr>
        <w:t xml:space="preserve">properly </w:t>
      </w:r>
      <w:r>
        <w:rPr>
          <w:rFonts w:ascii="Times New Roman" w:hAnsi="Times New Roman" w:cs="Times New Roman"/>
        </w:rPr>
        <w:t>confines the court</w:t>
      </w:r>
      <w:r w:rsidR="006661CC">
        <w:rPr>
          <w:rFonts w:ascii="Times New Roman" w:hAnsi="Times New Roman" w:cs="Times New Roman"/>
        </w:rPr>
        <w:t>’s role in super</w:t>
      </w:r>
      <w:r>
        <w:rPr>
          <w:rFonts w:ascii="Times New Roman" w:hAnsi="Times New Roman" w:cs="Times New Roman"/>
        </w:rPr>
        <w:t xml:space="preserve">vising </w:t>
      </w:r>
      <w:r w:rsidR="006661CC">
        <w:rPr>
          <w:rFonts w:ascii="Times New Roman" w:hAnsi="Times New Roman" w:cs="Times New Roman"/>
        </w:rPr>
        <w:t xml:space="preserve">the contracting process? </w:t>
      </w:r>
    </w:p>
    <w:p w14:paraId="6891CA93" w14:textId="6D8DEA95" w:rsidR="00C05811" w:rsidRDefault="00C05811" w:rsidP="00C519D2">
      <w:pPr>
        <w:spacing w:line="360" w:lineRule="auto"/>
        <w:rPr>
          <w:rFonts w:ascii="Times New Roman" w:hAnsi="Times New Roman" w:cs="Times New Roman"/>
        </w:rPr>
      </w:pPr>
    </w:p>
    <w:p w14:paraId="55089F82" w14:textId="747C6556" w:rsidR="008A1BB9" w:rsidRPr="00423360" w:rsidRDefault="008A1BB9" w:rsidP="008A1BB9">
      <w:pPr>
        <w:spacing w:line="360" w:lineRule="auto"/>
        <w:jc w:val="center"/>
        <w:rPr>
          <w:rFonts w:ascii="Times New Roman" w:hAnsi="Times New Roman" w:cs="Times New Roman"/>
          <w:b/>
          <w:bCs/>
          <w:smallCaps/>
        </w:rPr>
      </w:pPr>
      <w:r w:rsidRPr="00423360">
        <w:rPr>
          <w:rFonts w:ascii="Times New Roman" w:hAnsi="Times New Roman" w:cs="Times New Roman"/>
          <w:b/>
          <w:bCs/>
          <w:smallCaps/>
        </w:rPr>
        <w:t>IV</w:t>
      </w:r>
      <w:proofErr w:type="gramStart"/>
      <w:r w:rsidRPr="00423360">
        <w:rPr>
          <w:rFonts w:ascii="Times New Roman" w:hAnsi="Times New Roman" w:cs="Times New Roman"/>
          <w:b/>
          <w:bCs/>
          <w:smallCaps/>
        </w:rPr>
        <w:t>.</w:t>
      </w:r>
      <w:r w:rsidR="00B962B8" w:rsidRPr="00423360">
        <w:rPr>
          <w:rFonts w:ascii="Times New Roman" w:hAnsi="Times New Roman" w:cs="Times New Roman"/>
          <w:b/>
          <w:bCs/>
          <w:smallCaps/>
        </w:rPr>
        <w:t xml:space="preserve">  Policing</w:t>
      </w:r>
      <w:proofErr w:type="gramEnd"/>
      <w:r w:rsidR="00B962B8" w:rsidRPr="00423360">
        <w:rPr>
          <w:rFonts w:ascii="Times New Roman" w:hAnsi="Times New Roman" w:cs="Times New Roman"/>
          <w:b/>
          <w:bCs/>
          <w:smallCaps/>
        </w:rPr>
        <w:t xml:space="preserve"> Shading Through Contract Design</w:t>
      </w:r>
    </w:p>
    <w:p w14:paraId="63488B3A" w14:textId="77777777" w:rsidR="00B962B8" w:rsidRPr="008A1BB9" w:rsidRDefault="00B962B8" w:rsidP="008A1BB9">
      <w:pPr>
        <w:spacing w:line="360" w:lineRule="auto"/>
        <w:jc w:val="center"/>
        <w:rPr>
          <w:rFonts w:ascii="Times New Roman" w:hAnsi="Times New Roman" w:cs="Times New Roman"/>
          <w:b/>
        </w:rPr>
      </w:pPr>
    </w:p>
    <w:p w14:paraId="7FD74C69" w14:textId="079D321C" w:rsidR="00FF3453" w:rsidRDefault="005B1CD8" w:rsidP="00DC34A2">
      <w:pPr>
        <w:spacing w:line="360" w:lineRule="auto"/>
        <w:ind w:firstLine="720"/>
        <w:rPr>
          <w:rFonts w:ascii="Times New Roman" w:hAnsi="Times New Roman" w:cs="Times New Roman"/>
        </w:rPr>
      </w:pPr>
      <w:r>
        <w:rPr>
          <w:rFonts w:ascii="Times New Roman" w:hAnsi="Times New Roman" w:cs="Times New Roman"/>
        </w:rPr>
        <w:t xml:space="preserve">We </w:t>
      </w:r>
      <w:r w:rsidR="006943D9">
        <w:rPr>
          <w:rFonts w:ascii="Times New Roman" w:hAnsi="Times New Roman" w:cs="Times New Roman"/>
        </w:rPr>
        <w:t xml:space="preserve">return </w:t>
      </w:r>
      <w:r w:rsidR="00E114B0">
        <w:rPr>
          <w:rFonts w:ascii="Times New Roman" w:hAnsi="Times New Roman" w:cs="Times New Roman"/>
        </w:rPr>
        <w:t>t</w:t>
      </w:r>
      <w:r w:rsidR="006943D9">
        <w:rPr>
          <w:rFonts w:ascii="Times New Roman" w:hAnsi="Times New Roman" w:cs="Times New Roman"/>
        </w:rPr>
        <w:t>o the question</w:t>
      </w:r>
      <w:r w:rsidR="00FB631B">
        <w:rPr>
          <w:rFonts w:ascii="Times New Roman" w:hAnsi="Times New Roman" w:cs="Times New Roman"/>
        </w:rPr>
        <w:t>s</w:t>
      </w:r>
      <w:r w:rsidR="006943D9">
        <w:rPr>
          <w:rFonts w:ascii="Times New Roman" w:hAnsi="Times New Roman" w:cs="Times New Roman"/>
        </w:rPr>
        <w:t xml:space="preserve"> with which we began:</w:t>
      </w:r>
      <w:r w:rsidR="00175FB2">
        <w:rPr>
          <w:rFonts w:ascii="Times New Roman" w:hAnsi="Times New Roman" w:cs="Times New Roman"/>
        </w:rPr>
        <w:t xml:space="preserve"> </w:t>
      </w:r>
      <w:r w:rsidR="006943D9">
        <w:rPr>
          <w:rFonts w:ascii="Times New Roman" w:hAnsi="Times New Roman" w:cs="Times New Roman"/>
        </w:rPr>
        <w:t xml:space="preserve"> How</w:t>
      </w:r>
      <w:r w:rsidR="00555473">
        <w:rPr>
          <w:rFonts w:ascii="Times New Roman" w:hAnsi="Times New Roman" w:cs="Times New Roman"/>
        </w:rPr>
        <w:t xml:space="preserve"> </w:t>
      </w:r>
      <w:r w:rsidR="00656009">
        <w:rPr>
          <w:rFonts w:ascii="Times New Roman" w:hAnsi="Times New Roman" w:cs="Times New Roman"/>
        </w:rPr>
        <w:t>do</w:t>
      </w:r>
      <w:r w:rsidR="00175FB2">
        <w:rPr>
          <w:rFonts w:ascii="Times New Roman" w:hAnsi="Times New Roman" w:cs="Times New Roman"/>
        </w:rPr>
        <w:t xml:space="preserve"> </w:t>
      </w:r>
      <w:r w:rsidR="00712746">
        <w:rPr>
          <w:rFonts w:ascii="Times New Roman" w:hAnsi="Times New Roman" w:cs="Times New Roman"/>
        </w:rPr>
        <w:t xml:space="preserve">sophisticated parties (and their </w:t>
      </w:r>
      <w:r w:rsidR="00E41204">
        <w:rPr>
          <w:rFonts w:ascii="Times New Roman" w:hAnsi="Times New Roman" w:cs="Times New Roman"/>
        </w:rPr>
        <w:t xml:space="preserve">skilled </w:t>
      </w:r>
      <w:r w:rsidR="00EC4FAE">
        <w:rPr>
          <w:rFonts w:ascii="Times New Roman" w:hAnsi="Times New Roman" w:cs="Times New Roman"/>
        </w:rPr>
        <w:t>transactional lawyers</w:t>
      </w:r>
      <w:r w:rsidR="00712746">
        <w:rPr>
          <w:rFonts w:ascii="Times New Roman" w:hAnsi="Times New Roman" w:cs="Times New Roman"/>
        </w:rPr>
        <w:t>)</w:t>
      </w:r>
      <w:r w:rsidR="00EC4FAE">
        <w:rPr>
          <w:rFonts w:ascii="Times New Roman" w:hAnsi="Times New Roman" w:cs="Times New Roman"/>
        </w:rPr>
        <w:t xml:space="preserve"> –the </w:t>
      </w:r>
      <w:r w:rsidR="00175FB2">
        <w:rPr>
          <w:rFonts w:ascii="Times New Roman" w:hAnsi="Times New Roman" w:cs="Times New Roman"/>
        </w:rPr>
        <w:t xml:space="preserve">contract designers </w:t>
      </w:r>
      <w:r w:rsidR="00EC4FAE">
        <w:rPr>
          <w:rFonts w:ascii="Times New Roman" w:hAnsi="Times New Roman" w:cs="Times New Roman"/>
        </w:rPr>
        <w:t>of this world--</w:t>
      </w:r>
      <w:r w:rsidR="00656009">
        <w:rPr>
          <w:rFonts w:ascii="Times New Roman" w:hAnsi="Times New Roman" w:cs="Times New Roman"/>
        </w:rPr>
        <w:t xml:space="preserve">address </w:t>
      </w:r>
      <w:r w:rsidR="00555473">
        <w:rPr>
          <w:rFonts w:ascii="Times New Roman" w:hAnsi="Times New Roman" w:cs="Times New Roman"/>
        </w:rPr>
        <w:t>the Goldilocks proble</w:t>
      </w:r>
      <w:r w:rsidR="00E41204">
        <w:rPr>
          <w:rFonts w:ascii="Times New Roman" w:hAnsi="Times New Roman" w:cs="Times New Roman"/>
        </w:rPr>
        <w:t xml:space="preserve">m? </w:t>
      </w:r>
      <w:r w:rsidR="00656009">
        <w:rPr>
          <w:rFonts w:ascii="Times New Roman" w:hAnsi="Times New Roman" w:cs="Times New Roman"/>
        </w:rPr>
        <w:t xml:space="preserve"> </w:t>
      </w:r>
      <w:r w:rsidR="00654A85">
        <w:rPr>
          <w:rFonts w:ascii="Times New Roman" w:hAnsi="Times New Roman" w:cs="Times New Roman"/>
        </w:rPr>
        <w:t xml:space="preserve">Is it possible to </w:t>
      </w:r>
      <w:r w:rsidR="00555473">
        <w:rPr>
          <w:rFonts w:ascii="Times New Roman" w:hAnsi="Times New Roman" w:cs="Times New Roman"/>
        </w:rPr>
        <w:t xml:space="preserve">design </w:t>
      </w:r>
      <w:r>
        <w:rPr>
          <w:rFonts w:ascii="Times New Roman" w:hAnsi="Times New Roman" w:cs="Times New Roman"/>
        </w:rPr>
        <w:t xml:space="preserve">a </w:t>
      </w:r>
      <w:r w:rsidR="00555473">
        <w:rPr>
          <w:rFonts w:ascii="Times New Roman" w:hAnsi="Times New Roman" w:cs="Times New Roman"/>
        </w:rPr>
        <w:t>contract</w:t>
      </w:r>
      <w:r w:rsidR="00D578B0">
        <w:rPr>
          <w:rFonts w:ascii="Times New Roman" w:hAnsi="Times New Roman" w:cs="Times New Roman"/>
        </w:rPr>
        <w:t xml:space="preserve"> in which the court plays a superintending role that is sensitive to the context the parties have created</w:t>
      </w:r>
      <w:r w:rsidR="00FB631B">
        <w:rPr>
          <w:rFonts w:ascii="Times New Roman" w:hAnsi="Times New Roman" w:cs="Times New Roman"/>
        </w:rPr>
        <w:t xml:space="preserve">? </w:t>
      </w:r>
      <w:r w:rsidR="001010F9">
        <w:rPr>
          <w:rFonts w:ascii="Times New Roman" w:hAnsi="Times New Roman" w:cs="Times New Roman"/>
        </w:rPr>
        <w:t>Unfortunat</w:t>
      </w:r>
      <w:r w:rsidR="0031530D">
        <w:rPr>
          <w:rFonts w:ascii="Times New Roman" w:hAnsi="Times New Roman" w:cs="Times New Roman"/>
        </w:rPr>
        <w:t>ely</w:t>
      </w:r>
      <w:r w:rsidR="001010F9">
        <w:rPr>
          <w:rFonts w:ascii="Times New Roman" w:hAnsi="Times New Roman" w:cs="Times New Roman"/>
        </w:rPr>
        <w:t xml:space="preserve">, </w:t>
      </w:r>
      <w:r w:rsidR="00654A85">
        <w:rPr>
          <w:rFonts w:ascii="Times New Roman" w:hAnsi="Times New Roman" w:cs="Times New Roman"/>
        </w:rPr>
        <w:t>we have only</w:t>
      </w:r>
      <w:r w:rsidR="00E41204">
        <w:rPr>
          <w:rFonts w:ascii="Times New Roman" w:hAnsi="Times New Roman" w:cs="Times New Roman"/>
        </w:rPr>
        <w:t xml:space="preserve"> </w:t>
      </w:r>
      <w:r w:rsidR="00FB631B">
        <w:rPr>
          <w:rFonts w:ascii="Times New Roman" w:hAnsi="Times New Roman" w:cs="Times New Roman"/>
        </w:rPr>
        <w:t>preliminary data to answer the</w:t>
      </w:r>
      <w:r>
        <w:rPr>
          <w:rFonts w:ascii="Times New Roman" w:hAnsi="Times New Roman" w:cs="Times New Roman"/>
        </w:rPr>
        <w:t>s</w:t>
      </w:r>
      <w:r w:rsidR="00FB631B">
        <w:rPr>
          <w:rFonts w:ascii="Times New Roman" w:hAnsi="Times New Roman" w:cs="Times New Roman"/>
        </w:rPr>
        <w:t>e</w:t>
      </w:r>
      <w:r w:rsidR="00654A85">
        <w:rPr>
          <w:rFonts w:ascii="Times New Roman" w:hAnsi="Times New Roman" w:cs="Times New Roman"/>
        </w:rPr>
        <w:t xml:space="preserve"> question</w:t>
      </w:r>
      <w:r w:rsidR="00FB631B">
        <w:rPr>
          <w:rFonts w:ascii="Times New Roman" w:hAnsi="Times New Roman" w:cs="Times New Roman"/>
        </w:rPr>
        <w:t>s</w:t>
      </w:r>
      <w:r w:rsidR="00654A85">
        <w:rPr>
          <w:rFonts w:ascii="Times New Roman" w:hAnsi="Times New Roman" w:cs="Times New Roman"/>
        </w:rPr>
        <w:t xml:space="preserve"> because</w:t>
      </w:r>
      <w:r w:rsidR="00BF21C9">
        <w:rPr>
          <w:rFonts w:ascii="Times New Roman" w:hAnsi="Times New Roman" w:cs="Times New Roman"/>
        </w:rPr>
        <w:t xml:space="preserve">, as noted above, </w:t>
      </w:r>
      <w:r w:rsidR="0031530D">
        <w:rPr>
          <w:rFonts w:ascii="Times New Roman" w:hAnsi="Times New Roman" w:cs="Times New Roman"/>
        </w:rPr>
        <w:t>c</w:t>
      </w:r>
      <w:r w:rsidR="00DC34A2">
        <w:rPr>
          <w:rFonts w:ascii="Times New Roman" w:hAnsi="Times New Roman" w:cs="Times New Roman"/>
        </w:rPr>
        <w:t>ontract design remains something of a mystery, largely neglected by both legal and economic</w:t>
      </w:r>
      <w:r w:rsidR="00FB631B">
        <w:rPr>
          <w:rFonts w:ascii="Times New Roman" w:hAnsi="Times New Roman" w:cs="Times New Roman"/>
        </w:rPr>
        <w:t>s</w:t>
      </w:r>
      <w:r w:rsidR="00DC34A2">
        <w:rPr>
          <w:rFonts w:ascii="Times New Roman" w:hAnsi="Times New Roman" w:cs="Times New Roman"/>
        </w:rPr>
        <w:t xml:space="preserve"> scholars.  Indeed, there is</w:t>
      </w:r>
      <w:r w:rsidR="0093411E">
        <w:rPr>
          <w:rFonts w:ascii="Times New Roman" w:hAnsi="Times New Roman" w:cs="Times New Roman"/>
        </w:rPr>
        <w:t xml:space="preserve"> a large and growing literature</w:t>
      </w:r>
      <w:r w:rsidR="00DC34A2">
        <w:rPr>
          <w:rFonts w:ascii="Times New Roman" w:hAnsi="Times New Roman" w:cs="Times New Roman"/>
        </w:rPr>
        <w:t xml:space="preserve"> that demonstrates the resistance of contracts to change even in the face of </w:t>
      </w:r>
      <w:r w:rsidR="0031530D">
        <w:rPr>
          <w:rFonts w:ascii="Times New Roman" w:hAnsi="Times New Roman" w:cs="Times New Roman"/>
        </w:rPr>
        <w:t>a</w:t>
      </w:r>
      <w:r>
        <w:rPr>
          <w:rFonts w:ascii="Times New Roman" w:hAnsi="Times New Roman" w:cs="Times New Roman"/>
        </w:rPr>
        <w:t xml:space="preserve"> significant </w:t>
      </w:r>
      <w:r w:rsidR="00DC34A2">
        <w:rPr>
          <w:rFonts w:ascii="Times New Roman" w:hAnsi="Times New Roman" w:cs="Times New Roman"/>
        </w:rPr>
        <w:t>exogenous</w:t>
      </w:r>
      <w:r w:rsidR="00E41204">
        <w:rPr>
          <w:rFonts w:ascii="Times New Roman" w:hAnsi="Times New Roman" w:cs="Times New Roman"/>
        </w:rPr>
        <w:t xml:space="preserve"> shock</w:t>
      </w:r>
      <w:r w:rsidR="00DC34A2">
        <w:rPr>
          <w:rFonts w:ascii="Times New Roman" w:hAnsi="Times New Roman" w:cs="Times New Roman"/>
        </w:rPr>
        <w:t xml:space="preserve">. </w:t>
      </w:r>
      <w:r>
        <w:rPr>
          <w:rFonts w:ascii="Times New Roman" w:hAnsi="Times New Roman" w:cs="Times New Roman"/>
        </w:rPr>
        <w:t>We know that b</w:t>
      </w:r>
      <w:r w:rsidR="00DC34A2">
        <w:rPr>
          <w:rFonts w:ascii="Times New Roman" w:hAnsi="Times New Roman" w:cs="Times New Roman"/>
        </w:rPr>
        <w:t>oilerplate terms in corporate indentures, sovereign bonds and other standard form contracts resist improvements that would appear to enhance contractual efficiency.</w:t>
      </w:r>
      <w:r w:rsidR="00D578B0">
        <w:rPr>
          <w:rStyle w:val="FootnoteReference"/>
          <w:rFonts w:ascii="Times New Roman" w:hAnsi="Times New Roman"/>
        </w:rPr>
        <w:footnoteReference w:id="38"/>
      </w:r>
      <w:r w:rsidR="00DC34A2">
        <w:rPr>
          <w:rFonts w:ascii="Times New Roman" w:hAnsi="Times New Roman" w:cs="Times New Roman"/>
        </w:rPr>
        <w:t xml:space="preserve">  Even </w:t>
      </w:r>
      <w:r w:rsidR="003453B3">
        <w:rPr>
          <w:rFonts w:ascii="Times New Roman" w:hAnsi="Times New Roman" w:cs="Times New Roman"/>
        </w:rPr>
        <w:t xml:space="preserve">customized, </w:t>
      </w:r>
      <w:r w:rsidR="00DC34A2">
        <w:rPr>
          <w:rFonts w:ascii="Times New Roman" w:hAnsi="Times New Roman" w:cs="Times New Roman"/>
        </w:rPr>
        <w:t xml:space="preserve">bespoke contracting emerges from law firm precedents that are tightly protected and resistant to amendment.  Yet despite these impediments, contracts do change in many different ways and the changes appear to be the product of intelligent design, perhaps aided by a quasi-Darwinian evolutionary process of trial and error. </w:t>
      </w:r>
      <w:r w:rsidR="006D6885">
        <w:rPr>
          <w:rFonts w:ascii="Times New Roman" w:hAnsi="Times New Roman" w:cs="Times New Roman"/>
        </w:rPr>
        <w:t xml:space="preserve"> </w:t>
      </w:r>
      <w:r w:rsidR="008E5E7B">
        <w:t xml:space="preserve">Studies of </w:t>
      </w:r>
      <w:r w:rsidR="004C0FD2">
        <w:t xml:space="preserve">contemporary </w:t>
      </w:r>
      <w:r w:rsidR="008E5E7B">
        <w:t xml:space="preserve">commercial </w:t>
      </w:r>
      <w:r w:rsidR="008E5E7B" w:rsidRPr="00843737">
        <w:rPr>
          <w:rFonts w:ascii="Times New Roman" w:hAnsi="Times New Roman" w:cs="Times New Roman"/>
        </w:rPr>
        <w:t xml:space="preserve">practices that my colleagues Ron Gilson, </w:t>
      </w:r>
      <w:r w:rsidR="008E5E7B" w:rsidRPr="00843737">
        <w:rPr>
          <w:rFonts w:ascii="Times New Roman" w:hAnsi="Times New Roman" w:cs="Times New Roman"/>
        </w:rPr>
        <w:lastRenderedPageBreak/>
        <w:t xml:space="preserve">Chuck </w:t>
      </w:r>
      <w:proofErr w:type="spellStart"/>
      <w:r w:rsidR="008E5E7B" w:rsidRPr="00843737">
        <w:rPr>
          <w:rFonts w:ascii="Times New Roman" w:hAnsi="Times New Roman" w:cs="Times New Roman"/>
        </w:rPr>
        <w:t>Sabel</w:t>
      </w:r>
      <w:proofErr w:type="spellEnd"/>
      <w:r w:rsidR="008E5E7B" w:rsidRPr="00843737">
        <w:rPr>
          <w:rFonts w:ascii="Times New Roman" w:hAnsi="Times New Roman" w:cs="Times New Roman"/>
        </w:rPr>
        <w:t xml:space="preserve"> and</w:t>
      </w:r>
      <w:r w:rsidR="008E5E7B">
        <w:t xml:space="preserve"> I have undertaken over the past four years show that</w:t>
      </w:r>
      <w:r w:rsidR="008E5E7B">
        <w:rPr>
          <w:rFonts w:ascii="Times New Roman" w:hAnsi="Times New Roman" w:cs="Times New Roman"/>
        </w:rPr>
        <w:t xml:space="preserve"> sophisticated parties choose several different means of anticipating and deterring shading behavior in the design of their contractual regimes.</w:t>
      </w:r>
      <w:r w:rsidR="0051317B">
        <w:rPr>
          <w:rStyle w:val="FootnoteReference"/>
          <w:rFonts w:ascii="Times New Roman" w:hAnsi="Times New Roman"/>
        </w:rPr>
        <w:footnoteReference w:id="39"/>
      </w:r>
      <w:r w:rsidR="008E5E7B">
        <w:rPr>
          <w:rFonts w:ascii="Times New Roman" w:hAnsi="Times New Roman" w:cs="Times New Roman"/>
        </w:rPr>
        <w:t xml:space="preserve">  </w:t>
      </w:r>
    </w:p>
    <w:p w14:paraId="3F29050C" w14:textId="77777777" w:rsidR="00FF3453" w:rsidRDefault="00FF3453" w:rsidP="00DC34A2">
      <w:pPr>
        <w:spacing w:line="360" w:lineRule="auto"/>
        <w:ind w:firstLine="720"/>
        <w:rPr>
          <w:rFonts w:ascii="Times New Roman" w:hAnsi="Times New Roman" w:cs="Times New Roman"/>
        </w:rPr>
      </w:pPr>
    </w:p>
    <w:p w14:paraId="3C15591F" w14:textId="650555D7" w:rsidR="00DC34A2" w:rsidRDefault="00DC34A2" w:rsidP="00DC34A2">
      <w:pPr>
        <w:spacing w:line="360" w:lineRule="auto"/>
        <w:ind w:firstLine="720"/>
        <w:rPr>
          <w:rFonts w:ascii="Times New Roman" w:hAnsi="Times New Roman" w:cs="Times New Roman"/>
        </w:rPr>
      </w:pPr>
      <w:r>
        <w:rPr>
          <w:rFonts w:ascii="Times New Roman" w:hAnsi="Times New Roman" w:cs="Times New Roman"/>
        </w:rPr>
        <w:t xml:space="preserve"> To understand how contracts have evolved to address the </w:t>
      </w:r>
      <w:r w:rsidR="00EF4465">
        <w:rPr>
          <w:rFonts w:ascii="Times New Roman" w:hAnsi="Times New Roman" w:cs="Times New Roman"/>
        </w:rPr>
        <w:t>Goldilocks</w:t>
      </w:r>
      <w:r>
        <w:rPr>
          <w:rFonts w:ascii="Times New Roman" w:hAnsi="Times New Roman" w:cs="Times New Roman"/>
        </w:rPr>
        <w:t xml:space="preserve"> problem </w:t>
      </w:r>
      <w:r w:rsidR="004E1690">
        <w:rPr>
          <w:rFonts w:ascii="Times New Roman" w:hAnsi="Times New Roman" w:cs="Times New Roman"/>
        </w:rPr>
        <w:t>(</w:t>
      </w:r>
      <w:r>
        <w:rPr>
          <w:rFonts w:ascii="Times New Roman" w:hAnsi="Times New Roman" w:cs="Times New Roman"/>
        </w:rPr>
        <w:t>even as exogenous shocks alter the business environment in unpredictable ways</w:t>
      </w:r>
      <w:r w:rsidR="004E1690">
        <w:rPr>
          <w:rFonts w:ascii="Times New Roman" w:hAnsi="Times New Roman" w:cs="Times New Roman"/>
        </w:rPr>
        <w:t>)</w:t>
      </w:r>
      <w:r>
        <w:rPr>
          <w:rFonts w:ascii="Times New Roman" w:hAnsi="Times New Roman" w:cs="Times New Roman"/>
        </w:rPr>
        <w:t xml:space="preserve"> we should first begin by distinguishing two fundamental design categories.  The first and most common is customization or “tailoring” of familiar contractual formulations.  This involves changes in the terms within a particular instrument so as to better address particular uncertainties with future states.  Thus, for e</w:t>
      </w:r>
      <w:r w:rsidR="00FF3453">
        <w:rPr>
          <w:rFonts w:ascii="Times New Roman" w:hAnsi="Times New Roman" w:cs="Times New Roman"/>
        </w:rPr>
        <w:t>xample, in the past fifty years</w:t>
      </w:r>
      <w:r>
        <w:rPr>
          <w:rFonts w:ascii="Times New Roman" w:hAnsi="Times New Roman" w:cs="Times New Roman"/>
        </w:rPr>
        <w:t xml:space="preserve"> parties have increasingly inserted vague terms such as “best efforts,</w:t>
      </w:r>
      <w:r w:rsidR="00FF3453">
        <w:rPr>
          <w:rFonts w:ascii="Times New Roman" w:hAnsi="Times New Roman" w:cs="Times New Roman"/>
        </w:rPr>
        <w:t>”</w:t>
      </w:r>
      <w:r>
        <w:rPr>
          <w:rFonts w:ascii="Times New Roman" w:hAnsi="Times New Roman" w:cs="Times New Roman"/>
        </w:rPr>
        <w:t xml:space="preserve"> “reasonable best efforts” or “commercially reasonable efforts” as modifiers that are combined with specific or precise performance obligations under the contract.</w:t>
      </w:r>
      <w:r w:rsidR="00576DD6">
        <w:rPr>
          <w:rStyle w:val="FootnoteReference"/>
          <w:rFonts w:ascii="Times New Roman" w:hAnsi="Times New Roman"/>
        </w:rPr>
        <w:footnoteReference w:id="40"/>
      </w:r>
      <w:r>
        <w:rPr>
          <w:rFonts w:ascii="Times New Roman" w:hAnsi="Times New Roman" w:cs="Times New Roman"/>
        </w:rPr>
        <w:t xml:space="preserve"> </w:t>
      </w:r>
      <w:r w:rsidR="0031530D">
        <w:rPr>
          <w:rFonts w:ascii="Times New Roman" w:hAnsi="Times New Roman" w:cs="Times New Roman"/>
        </w:rPr>
        <w:t xml:space="preserve"> </w:t>
      </w:r>
      <w:r>
        <w:rPr>
          <w:rFonts w:ascii="Times New Roman" w:hAnsi="Times New Roman" w:cs="Times New Roman"/>
        </w:rPr>
        <w:t>Another example of customization occurs in thick contractual markets where trade associations or other collective bodies use an updating mechanism external to the parties to propose changes in particular terms that will ultimately be adopte</w:t>
      </w:r>
      <w:r w:rsidR="00DE360F">
        <w:rPr>
          <w:rFonts w:ascii="Times New Roman" w:hAnsi="Times New Roman" w:cs="Times New Roman"/>
        </w:rPr>
        <w:t xml:space="preserve">d by most if not all members of </w:t>
      </w:r>
      <w:r>
        <w:rPr>
          <w:rFonts w:ascii="Times New Roman" w:hAnsi="Times New Roman" w:cs="Times New Roman"/>
        </w:rPr>
        <w:t xml:space="preserve">the collective body. </w:t>
      </w:r>
      <w:r w:rsidR="00576DD6">
        <w:rPr>
          <w:rStyle w:val="FootnoteReference"/>
          <w:rFonts w:ascii="Times New Roman" w:hAnsi="Times New Roman"/>
        </w:rPr>
        <w:footnoteReference w:id="41"/>
      </w:r>
    </w:p>
    <w:p w14:paraId="1A08CD6F" w14:textId="77777777" w:rsidR="00DC34A2" w:rsidRDefault="00DC34A2" w:rsidP="00DC34A2">
      <w:pPr>
        <w:spacing w:line="360" w:lineRule="auto"/>
        <w:ind w:firstLine="720"/>
        <w:rPr>
          <w:rFonts w:ascii="Times New Roman" w:hAnsi="Times New Roman" w:cs="Times New Roman"/>
        </w:rPr>
      </w:pPr>
    </w:p>
    <w:p w14:paraId="5EBDE6A0" w14:textId="3E236CD6" w:rsidR="00DC34A2" w:rsidRDefault="00DC34A2" w:rsidP="00DC34A2">
      <w:pPr>
        <w:spacing w:line="360" w:lineRule="auto"/>
        <w:ind w:firstLine="720"/>
        <w:rPr>
          <w:rFonts w:ascii="Times New Roman" w:hAnsi="Times New Roman" w:cs="Times New Roman"/>
        </w:rPr>
      </w:pPr>
      <w:r>
        <w:rPr>
          <w:rFonts w:ascii="Times New Roman" w:hAnsi="Times New Roman" w:cs="Times New Roman"/>
        </w:rPr>
        <w:lastRenderedPageBreak/>
        <w:t xml:space="preserve"> </w:t>
      </w:r>
      <w:r w:rsidR="00DE360F">
        <w:rPr>
          <w:rFonts w:ascii="Times New Roman" w:hAnsi="Times New Roman" w:cs="Times New Roman"/>
        </w:rPr>
        <w:t>A</w:t>
      </w:r>
      <w:r>
        <w:rPr>
          <w:rFonts w:ascii="Times New Roman" w:hAnsi="Times New Roman" w:cs="Times New Roman"/>
        </w:rPr>
        <w:t xml:space="preserve"> quite different cat</w:t>
      </w:r>
      <w:r w:rsidR="00DE360F">
        <w:rPr>
          <w:rFonts w:ascii="Times New Roman" w:hAnsi="Times New Roman" w:cs="Times New Roman"/>
        </w:rPr>
        <w:t>egory of contractual design</w:t>
      </w:r>
      <w:r w:rsidR="00124ED4">
        <w:rPr>
          <w:rFonts w:ascii="Times New Roman" w:hAnsi="Times New Roman" w:cs="Times New Roman"/>
        </w:rPr>
        <w:t xml:space="preserve"> </w:t>
      </w:r>
      <w:r w:rsidR="00FF3453">
        <w:rPr>
          <w:rFonts w:ascii="Times New Roman" w:hAnsi="Times New Roman" w:cs="Times New Roman"/>
        </w:rPr>
        <w:t>has occurred</w:t>
      </w:r>
      <w:r>
        <w:rPr>
          <w:rFonts w:ascii="Times New Roman" w:hAnsi="Times New Roman" w:cs="Times New Roman"/>
        </w:rPr>
        <w:t xml:space="preserve">, however, as a product of </w:t>
      </w:r>
      <w:r w:rsidR="00124ED4">
        <w:rPr>
          <w:rFonts w:ascii="Times New Roman" w:hAnsi="Times New Roman" w:cs="Times New Roman"/>
        </w:rPr>
        <w:t xml:space="preserve">the </w:t>
      </w:r>
      <w:r>
        <w:rPr>
          <w:rFonts w:ascii="Times New Roman" w:hAnsi="Times New Roman" w:cs="Times New Roman"/>
        </w:rPr>
        <w:t>enhanced uncertainty triggered by the “information revolution.”  These design changes are innovative in a much more fundamental way in that they involve mutations in the very form of a c</w:t>
      </w:r>
      <w:r w:rsidR="0031530D">
        <w:rPr>
          <w:rFonts w:ascii="Times New Roman" w:hAnsi="Times New Roman" w:cs="Times New Roman"/>
        </w:rPr>
        <w:t>ontractual agreement</w:t>
      </w:r>
      <w:r w:rsidR="00124ED4">
        <w:rPr>
          <w:rFonts w:ascii="Times New Roman" w:hAnsi="Times New Roman" w:cs="Times New Roman"/>
        </w:rPr>
        <w:t xml:space="preserve">. </w:t>
      </w:r>
      <w:r>
        <w:rPr>
          <w:rFonts w:ascii="Times New Roman" w:hAnsi="Times New Roman" w:cs="Times New Roman"/>
        </w:rPr>
        <w:t xml:space="preserve"> In this la</w:t>
      </w:r>
      <w:r w:rsidR="0031530D">
        <w:rPr>
          <w:rFonts w:ascii="Times New Roman" w:hAnsi="Times New Roman" w:cs="Times New Roman"/>
        </w:rPr>
        <w:t xml:space="preserve">tter category we see </w:t>
      </w:r>
      <w:r w:rsidR="007939D6">
        <w:rPr>
          <w:rFonts w:ascii="Times New Roman" w:hAnsi="Times New Roman" w:cs="Times New Roman"/>
        </w:rPr>
        <w:t xml:space="preserve">radically incomplete </w:t>
      </w:r>
      <w:r>
        <w:rPr>
          <w:rFonts w:ascii="Times New Roman" w:hAnsi="Times New Roman" w:cs="Times New Roman"/>
        </w:rPr>
        <w:t xml:space="preserve">contracts </w:t>
      </w:r>
      <w:r w:rsidR="007939D6">
        <w:rPr>
          <w:rFonts w:ascii="Times New Roman" w:hAnsi="Times New Roman" w:cs="Times New Roman"/>
        </w:rPr>
        <w:t>being</w:t>
      </w:r>
      <w:r w:rsidR="00FF3453">
        <w:rPr>
          <w:rFonts w:ascii="Times New Roman" w:hAnsi="Times New Roman" w:cs="Times New Roman"/>
        </w:rPr>
        <w:t xml:space="preserve"> </w:t>
      </w:r>
      <w:r w:rsidR="00124ED4">
        <w:rPr>
          <w:rFonts w:ascii="Times New Roman" w:hAnsi="Times New Roman" w:cs="Times New Roman"/>
        </w:rPr>
        <w:t>used</w:t>
      </w:r>
      <w:r w:rsidR="007939D6">
        <w:rPr>
          <w:rFonts w:ascii="Times New Roman" w:hAnsi="Times New Roman" w:cs="Times New Roman"/>
        </w:rPr>
        <w:t xml:space="preserve">, inter alia, </w:t>
      </w:r>
      <w:r w:rsidR="003C18D9">
        <w:rPr>
          <w:rFonts w:ascii="Times New Roman" w:hAnsi="Times New Roman" w:cs="Times New Roman"/>
        </w:rPr>
        <w:t>to create binding preliminary commitments,</w:t>
      </w:r>
      <w:r w:rsidR="003C18D9">
        <w:rPr>
          <w:rStyle w:val="FootnoteReference"/>
          <w:rFonts w:ascii="Times New Roman" w:hAnsi="Times New Roman"/>
        </w:rPr>
        <w:footnoteReference w:id="42"/>
      </w:r>
      <w:r w:rsidR="003C18D9">
        <w:rPr>
          <w:rFonts w:ascii="Times New Roman" w:hAnsi="Times New Roman" w:cs="Times New Roman"/>
        </w:rPr>
        <w:t xml:space="preserve"> </w:t>
      </w:r>
      <w:r w:rsidR="007939D6">
        <w:rPr>
          <w:rFonts w:ascii="Times New Roman" w:hAnsi="Times New Roman" w:cs="Times New Roman"/>
        </w:rPr>
        <w:t xml:space="preserve">to </w:t>
      </w:r>
      <w:r>
        <w:rPr>
          <w:rFonts w:ascii="Times New Roman" w:hAnsi="Times New Roman" w:cs="Times New Roman"/>
        </w:rPr>
        <w:t>manag</w:t>
      </w:r>
      <w:r w:rsidR="007939D6">
        <w:rPr>
          <w:rFonts w:ascii="Times New Roman" w:hAnsi="Times New Roman" w:cs="Times New Roman"/>
        </w:rPr>
        <w:t>e</w:t>
      </w:r>
      <w:r>
        <w:rPr>
          <w:rFonts w:ascii="Times New Roman" w:hAnsi="Times New Roman" w:cs="Times New Roman"/>
        </w:rPr>
        <w:t xml:space="preserve"> supply cha</w:t>
      </w:r>
      <w:r w:rsidR="0031530D">
        <w:rPr>
          <w:rFonts w:ascii="Times New Roman" w:hAnsi="Times New Roman" w:cs="Times New Roman"/>
        </w:rPr>
        <w:t>in</w:t>
      </w:r>
      <w:r>
        <w:rPr>
          <w:rFonts w:ascii="Times New Roman" w:hAnsi="Times New Roman" w:cs="Times New Roman"/>
        </w:rPr>
        <w:t xml:space="preserve">s, </w:t>
      </w:r>
      <w:r w:rsidR="007939D6">
        <w:rPr>
          <w:rFonts w:ascii="Times New Roman" w:hAnsi="Times New Roman" w:cs="Times New Roman"/>
        </w:rPr>
        <w:t xml:space="preserve">complex </w:t>
      </w:r>
      <w:r>
        <w:rPr>
          <w:rFonts w:ascii="Times New Roman" w:hAnsi="Times New Roman" w:cs="Times New Roman"/>
        </w:rPr>
        <w:t>platform production</w:t>
      </w:r>
      <w:r w:rsidR="007939D6">
        <w:rPr>
          <w:rFonts w:ascii="Times New Roman" w:hAnsi="Times New Roman" w:cs="Times New Roman"/>
        </w:rPr>
        <w:t xml:space="preserve"> relationships</w:t>
      </w:r>
      <w:r>
        <w:rPr>
          <w:rFonts w:ascii="Times New Roman" w:hAnsi="Times New Roman" w:cs="Times New Roman"/>
        </w:rPr>
        <w:t xml:space="preserve"> and pharmaceutical </w:t>
      </w:r>
      <w:r w:rsidR="0031530D">
        <w:rPr>
          <w:rFonts w:ascii="Times New Roman" w:hAnsi="Times New Roman" w:cs="Times New Roman"/>
        </w:rPr>
        <w:t>alliances</w:t>
      </w:r>
      <w:r w:rsidR="007939D6">
        <w:rPr>
          <w:rFonts w:ascii="Times New Roman" w:hAnsi="Times New Roman" w:cs="Times New Roman"/>
        </w:rPr>
        <w:t>.</w:t>
      </w:r>
      <w:r w:rsidR="00576DD6">
        <w:rPr>
          <w:rStyle w:val="FootnoteReference"/>
          <w:rFonts w:ascii="Times New Roman" w:hAnsi="Times New Roman"/>
        </w:rPr>
        <w:footnoteReference w:id="43"/>
      </w:r>
      <w:r w:rsidR="00E41204">
        <w:rPr>
          <w:rFonts w:ascii="Times New Roman" w:hAnsi="Times New Roman" w:cs="Times New Roman"/>
        </w:rPr>
        <w:t xml:space="preserve"> </w:t>
      </w:r>
      <w:r w:rsidR="007939D6">
        <w:rPr>
          <w:rFonts w:ascii="Times New Roman" w:hAnsi="Times New Roman" w:cs="Times New Roman"/>
        </w:rPr>
        <w:t xml:space="preserve"> </w:t>
      </w:r>
      <w:r>
        <w:rPr>
          <w:rFonts w:ascii="Times New Roman" w:hAnsi="Times New Roman" w:cs="Times New Roman"/>
        </w:rPr>
        <w:t xml:space="preserve">Parties in this environment of enhanced uncertainty are doing something different and, we might surmise, what they are doing is an effort to solve the </w:t>
      </w:r>
      <w:r w:rsidR="00EF4465">
        <w:rPr>
          <w:rFonts w:ascii="Times New Roman" w:hAnsi="Times New Roman" w:cs="Times New Roman"/>
        </w:rPr>
        <w:t>Goldilocks</w:t>
      </w:r>
      <w:r>
        <w:rPr>
          <w:rFonts w:ascii="Times New Roman" w:hAnsi="Times New Roman" w:cs="Times New Roman"/>
        </w:rPr>
        <w:t xml:space="preserve"> problem in novel ways. </w:t>
      </w:r>
    </w:p>
    <w:p w14:paraId="36457705" w14:textId="77777777" w:rsidR="00DC34A2" w:rsidRDefault="00DC34A2" w:rsidP="00DC34A2">
      <w:pPr>
        <w:spacing w:line="360" w:lineRule="auto"/>
        <w:ind w:firstLine="720"/>
        <w:rPr>
          <w:rFonts w:ascii="Times New Roman" w:hAnsi="Times New Roman" w:cs="Times New Roman"/>
        </w:rPr>
      </w:pPr>
    </w:p>
    <w:p w14:paraId="3AAB27E4" w14:textId="04F853EA" w:rsidR="005D5EC4" w:rsidRPr="005762EA" w:rsidRDefault="000551BA" w:rsidP="005762EA">
      <w:pPr>
        <w:pStyle w:val="Body1"/>
        <w:spacing w:line="360" w:lineRule="auto"/>
        <w:ind w:firstLine="720"/>
        <w:rPr>
          <w:rFonts w:ascii="Times New Roman" w:hAnsi="Times New Roman"/>
          <w:szCs w:val="24"/>
        </w:rPr>
      </w:pPr>
      <w:r>
        <w:rPr>
          <w:rFonts w:ascii="Times New Roman" w:hAnsi="Times New Roman"/>
          <w:szCs w:val="24"/>
        </w:rPr>
        <w:t>The starting point for understanding what is going on is to focus on</w:t>
      </w:r>
      <w:r w:rsidR="005D5EC4" w:rsidRPr="00CB789B">
        <w:rPr>
          <w:rFonts w:ascii="Times New Roman" w:hAnsi="Times New Roman"/>
          <w:szCs w:val="24"/>
        </w:rPr>
        <w:t xml:space="preserve"> two critical characteristics of the particular contracting environment.</w:t>
      </w:r>
      <w:r w:rsidR="00311897">
        <w:rPr>
          <w:rStyle w:val="FootnoteReference"/>
          <w:rFonts w:ascii="Times New Roman" w:hAnsi="Times New Roman"/>
          <w:szCs w:val="24"/>
        </w:rPr>
        <w:footnoteReference w:id="44"/>
      </w:r>
      <w:r w:rsidR="005D5EC4" w:rsidRPr="00CB789B">
        <w:rPr>
          <w:rFonts w:ascii="Times New Roman" w:hAnsi="Times New Roman"/>
          <w:szCs w:val="24"/>
        </w:rPr>
        <w:t xml:space="preserve">  The first is </w:t>
      </w:r>
      <w:r>
        <w:rPr>
          <w:rFonts w:ascii="Times New Roman" w:hAnsi="Times New Roman"/>
          <w:szCs w:val="24"/>
        </w:rPr>
        <w:t xml:space="preserve">the level of uncertainty—are commercial practices </w:t>
      </w:r>
      <w:r w:rsidR="005D5EC4" w:rsidRPr="00CB789B">
        <w:rPr>
          <w:rFonts w:ascii="Times New Roman" w:hAnsi="Times New Roman"/>
          <w:szCs w:val="24"/>
        </w:rPr>
        <w:t xml:space="preserve">stable and predictable, or </w:t>
      </w:r>
      <w:r>
        <w:rPr>
          <w:rFonts w:ascii="Times New Roman" w:hAnsi="Times New Roman"/>
          <w:szCs w:val="24"/>
        </w:rPr>
        <w:t xml:space="preserve">are they </w:t>
      </w:r>
      <w:r w:rsidR="005D5EC4" w:rsidRPr="00CB789B">
        <w:rPr>
          <w:rFonts w:ascii="Times New Roman" w:hAnsi="Times New Roman"/>
          <w:szCs w:val="24"/>
        </w:rPr>
        <w:t xml:space="preserve">disrupted </w:t>
      </w:r>
      <w:r w:rsidR="005D5EC4">
        <w:rPr>
          <w:rFonts w:ascii="Times New Roman" w:hAnsi="Times New Roman"/>
          <w:szCs w:val="24"/>
        </w:rPr>
        <w:t>by unforeseeable</w:t>
      </w:r>
      <w:r w:rsidR="005D5EC4" w:rsidRPr="00CB789B">
        <w:rPr>
          <w:rFonts w:ascii="Times New Roman" w:hAnsi="Times New Roman"/>
          <w:szCs w:val="24"/>
        </w:rPr>
        <w:t xml:space="preserve"> changes in technical possibilities a</w:t>
      </w:r>
      <w:r w:rsidR="00311897">
        <w:rPr>
          <w:rFonts w:ascii="Times New Roman" w:hAnsi="Times New Roman"/>
          <w:szCs w:val="24"/>
        </w:rPr>
        <w:t>nd market conditions?</w:t>
      </w:r>
      <w:r w:rsidR="005D5EC4" w:rsidRPr="00CB789B">
        <w:rPr>
          <w:rFonts w:ascii="Times New Roman" w:hAnsi="Times New Roman"/>
          <w:szCs w:val="24"/>
        </w:rPr>
        <w:t xml:space="preserve"> </w:t>
      </w:r>
      <w:r w:rsidR="00F95987" w:rsidRPr="00CB789B">
        <w:rPr>
          <w:rFonts w:ascii="Times New Roman" w:hAnsi="Times New Roman"/>
          <w:szCs w:val="24"/>
        </w:rPr>
        <w:t>All else equal, the higher the level of uncertainty, the more difficult it is for parties to write, and courts to interpret</w:t>
      </w:r>
      <w:r w:rsidR="004C0FD2">
        <w:rPr>
          <w:rFonts w:ascii="Times New Roman" w:hAnsi="Times New Roman"/>
          <w:szCs w:val="24"/>
        </w:rPr>
        <w:t>,</w:t>
      </w:r>
      <w:r w:rsidR="00F95987" w:rsidRPr="00CB789B">
        <w:rPr>
          <w:rFonts w:ascii="Times New Roman" w:hAnsi="Times New Roman"/>
          <w:szCs w:val="24"/>
        </w:rPr>
        <w:t xml:space="preserve"> complete</w:t>
      </w:r>
      <w:r w:rsidR="008A1B1D">
        <w:rPr>
          <w:rFonts w:ascii="Times New Roman" w:hAnsi="Times New Roman"/>
          <w:szCs w:val="24"/>
        </w:rPr>
        <w:t>ly specified and fully</w:t>
      </w:r>
      <w:r w:rsidR="00F95987">
        <w:rPr>
          <w:rFonts w:ascii="Times New Roman" w:hAnsi="Times New Roman"/>
          <w:szCs w:val="24"/>
        </w:rPr>
        <w:t xml:space="preserve"> integrated </w:t>
      </w:r>
      <w:r w:rsidR="00F95987" w:rsidRPr="00CB789B">
        <w:rPr>
          <w:rFonts w:ascii="Times New Roman" w:hAnsi="Times New Roman"/>
          <w:szCs w:val="24"/>
        </w:rPr>
        <w:t>contracts</w:t>
      </w:r>
      <w:r w:rsidR="00F95987">
        <w:rPr>
          <w:rFonts w:ascii="Times New Roman" w:hAnsi="Times New Roman"/>
          <w:szCs w:val="24"/>
        </w:rPr>
        <w:t>.</w:t>
      </w:r>
      <w:r w:rsidR="00F95987">
        <w:rPr>
          <w:rFonts w:ascii="Times New Roman" w:hAnsi="Times New Roman"/>
        </w:rPr>
        <w:t xml:space="preserve">  Rather, when the level of uncertainty is high, sophisticated parties develop agreement</w:t>
      </w:r>
      <w:r w:rsidR="008A1B1D">
        <w:rPr>
          <w:rFonts w:ascii="Times New Roman" w:hAnsi="Times New Roman"/>
        </w:rPr>
        <w:t>s</w:t>
      </w:r>
      <w:r w:rsidR="00F95987">
        <w:rPr>
          <w:rFonts w:ascii="Times New Roman" w:hAnsi="Times New Roman"/>
        </w:rPr>
        <w:t xml:space="preserve"> grounded in the commitment to </w:t>
      </w:r>
      <w:r w:rsidR="007939D6">
        <w:rPr>
          <w:rFonts w:ascii="Times New Roman" w:hAnsi="Times New Roman"/>
        </w:rPr>
        <w:t xml:space="preserve">a </w:t>
      </w:r>
      <w:r w:rsidR="00F95987">
        <w:rPr>
          <w:rFonts w:ascii="Times New Roman" w:hAnsi="Times New Roman"/>
        </w:rPr>
        <w:t xml:space="preserve">regular exchange of private information but with no commitment as to the product that this </w:t>
      </w:r>
      <w:r w:rsidR="007939D6">
        <w:rPr>
          <w:rFonts w:ascii="Times New Roman" w:hAnsi="Times New Roman"/>
        </w:rPr>
        <w:t>agreement</w:t>
      </w:r>
      <w:r w:rsidR="00F95987">
        <w:rPr>
          <w:rFonts w:ascii="Times New Roman" w:hAnsi="Times New Roman"/>
        </w:rPr>
        <w:t xml:space="preserve"> will produce.</w:t>
      </w:r>
      <w:r w:rsidR="00311897">
        <w:rPr>
          <w:rStyle w:val="FootnoteReference"/>
          <w:rFonts w:ascii="Times New Roman" w:hAnsi="Times New Roman"/>
        </w:rPr>
        <w:footnoteReference w:id="45"/>
      </w:r>
      <w:r w:rsidR="00F95987">
        <w:rPr>
          <w:rFonts w:ascii="Times New Roman" w:hAnsi="Times New Roman"/>
        </w:rPr>
        <w:t xml:space="preserve"> </w:t>
      </w:r>
      <w:r w:rsidR="00474627">
        <w:rPr>
          <w:rFonts w:ascii="Times New Roman" w:hAnsi="Times New Roman"/>
        </w:rPr>
        <w:t xml:space="preserve"> </w:t>
      </w:r>
      <w:r w:rsidR="005D5EC4" w:rsidRPr="00CB789B">
        <w:rPr>
          <w:rFonts w:ascii="Times New Roman" w:hAnsi="Times New Roman"/>
          <w:szCs w:val="24"/>
        </w:rPr>
        <w:t xml:space="preserve">The second </w:t>
      </w:r>
      <w:r w:rsidR="00F95987">
        <w:rPr>
          <w:rFonts w:ascii="Times New Roman" w:hAnsi="Times New Roman"/>
          <w:szCs w:val="24"/>
        </w:rPr>
        <w:t xml:space="preserve">characteristic </w:t>
      </w:r>
      <w:r w:rsidR="005D5EC4" w:rsidRPr="00CB789B">
        <w:rPr>
          <w:rFonts w:ascii="Times New Roman" w:hAnsi="Times New Roman"/>
          <w:szCs w:val="24"/>
        </w:rPr>
        <w:t xml:space="preserve">is the scope or </w:t>
      </w:r>
      <w:r w:rsidR="005D5EC4" w:rsidRPr="00CB789B">
        <w:rPr>
          <w:rFonts w:ascii="Times New Roman" w:hAnsi="Times New Roman"/>
          <w:szCs w:val="24"/>
        </w:rPr>
        <w:lastRenderedPageBreak/>
        <w:t xml:space="preserve">thickness of the market—whether there are many traders or </w:t>
      </w:r>
      <w:r w:rsidR="00F95987">
        <w:rPr>
          <w:rFonts w:ascii="Times New Roman" w:hAnsi="Times New Roman"/>
          <w:szCs w:val="24"/>
        </w:rPr>
        <w:t xml:space="preserve">only a </w:t>
      </w:r>
      <w:r w:rsidR="005D5EC4" w:rsidRPr="00CB789B">
        <w:rPr>
          <w:rFonts w:ascii="Times New Roman" w:hAnsi="Times New Roman"/>
          <w:szCs w:val="24"/>
        </w:rPr>
        <w:t>few engaged in a particular class of transaction using similar contracting strategies.</w:t>
      </w:r>
      <w:r w:rsidR="007A3D45">
        <w:rPr>
          <w:rStyle w:val="FootnoteReference"/>
          <w:rFonts w:ascii="Times New Roman" w:hAnsi="Times New Roman"/>
          <w:szCs w:val="24"/>
        </w:rPr>
        <w:footnoteReference w:id="46"/>
      </w:r>
      <w:r w:rsidR="005D5EC4">
        <w:rPr>
          <w:rFonts w:ascii="Times New Roman" w:hAnsi="Times New Roman"/>
          <w:szCs w:val="24"/>
        </w:rPr>
        <w:t xml:space="preserve"> </w:t>
      </w:r>
      <w:r w:rsidR="005D5EC4" w:rsidRPr="00CB789B">
        <w:rPr>
          <w:rFonts w:ascii="Times New Roman" w:hAnsi="Times New Roman"/>
          <w:szCs w:val="24"/>
        </w:rPr>
        <w:t xml:space="preserve">All else equal, the greater the number of traders engaged in a transaction, the more likely that the </w:t>
      </w:r>
      <w:r w:rsidR="00F95987">
        <w:rPr>
          <w:rFonts w:ascii="Times New Roman" w:hAnsi="Times New Roman"/>
          <w:szCs w:val="24"/>
        </w:rPr>
        <w:t xml:space="preserve">contract terms and the rules for their interpretation—as well as </w:t>
      </w:r>
      <w:r w:rsidR="005D5EC4" w:rsidRPr="00CB789B">
        <w:rPr>
          <w:rFonts w:ascii="Times New Roman" w:hAnsi="Times New Roman"/>
          <w:szCs w:val="24"/>
        </w:rPr>
        <w:t xml:space="preserve">a mechanism for adjusting terms as needs change—will be provided by a collective entity, such as a trade association, that can </w:t>
      </w:r>
      <w:r w:rsidR="00F95987">
        <w:rPr>
          <w:rFonts w:ascii="Times New Roman" w:hAnsi="Times New Roman"/>
          <w:szCs w:val="24"/>
        </w:rPr>
        <w:t>then provide</w:t>
      </w:r>
      <w:r w:rsidR="005D5EC4" w:rsidRPr="00CB789B">
        <w:rPr>
          <w:rFonts w:ascii="Times New Roman" w:hAnsi="Times New Roman"/>
          <w:szCs w:val="24"/>
        </w:rPr>
        <w:t xml:space="preserve"> a court the neces</w:t>
      </w:r>
      <w:r w:rsidR="005762EA">
        <w:rPr>
          <w:rFonts w:ascii="Times New Roman" w:hAnsi="Times New Roman"/>
          <w:szCs w:val="24"/>
        </w:rPr>
        <w:t xml:space="preserve">sary context for interpretation. </w:t>
      </w:r>
      <w:r w:rsidR="005762EA">
        <w:t xml:space="preserve"> </w:t>
      </w:r>
      <w:r w:rsidR="005D5EC4" w:rsidRPr="005D5EC4">
        <w:rPr>
          <w:rFonts w:ascii="Times New Roman" w:hAnsi="Times New Roman"/>
        </w:rPr>
        <w:t>The interplay of these two forces –uncertainty and scale—</w:t>
      </w:r>
      <w:r>
        <w:rPr>
          <w:rFonts w:ascii="Times New Roman" w:hAnsi="Times New Roman"/>
        </w:rPr>
        <w:t xml:space="preserve"> points </w:t>
      </w:r>
      <w:r w:rsidR="005D5EC4" w:rsidRPr="005D5EC4">
        <w:rPr>
          <w:rFonts w:ascii="Times New Roman" w:hAnsi="Times New Roman"/>
        </w:rPr>
        <w:t xml:space="preserve">to </w:t>
      </w:r>
      <w:r>
        <w:rPr>
          <w:rFonts w:ascii="Times New Roman" w:hAnsi="Times New Roman"/>
        </w:rPr>
        <w:t xml:space="preserve">the </w:t>
      </w:r>
      <w:r w:rsidR="005D5EC4" w:rsidRPr="005D5EC4">
        <w:rPr>
          <w:rFonts w:ascii="Times New Roman" w:hAnsi="Times New Roman"/>
        </w:rPr>
        <w:t>new forms of contracting among sophisticated parties and</w:t>
      </w:r>
      <w:r w:rsidR="005762EA">
        <w:rPr>
          <w:rFonts w:ascii="Times New Roman" w:hAnsi="Times New Roman"/>
        </w:rPr>
        <w:t>, at the same time,</w:t>
      </w:r>
      <w:r w:rsidR="005D5EC4" w:rsidRPr="005D5EC4">
        <w:rPr>
          <w:rFonts w:ascii="Times New Roman" w:hAnsi="Times New Roman"/>
        </w:rPr>
        <w:t xml:space="preserve"> helps clarify the (often overwhelming) institutional demands that </w:t>
      </w:r>
      <w:r w:rsidR="005D5EC4">
        <w:rPr>
          <w:rFonts w:ascii="Times New Roman" w:hAnsi="Times New Roman"/>
        </w:rPr>
        <w:t xml:space="preserve">are placed </w:t>
      </w:r>
      <w:r w:rsidR="005D5EC4" w:rsidRPr="005D5EC4">
        <w:rPr>
          <w:rFonts w:ascii="Times New Roman" w:hAnsi="Times New Roman"/>
        </w:rPr>
        <w:t xml:space="preserve">on generalist courts.  </w:t>
      </w:r>
    </w:p>
    <w:p w14:paraId="0B6A2668" w14:textId="77777777" w:rsidR="0093411E" w:rsidRPr="005D5EC4" w:rsidRDefault="0093411E" w:rsidP="005A5664">
      <w:pPr>
        <w:spacing w:line="360" w:lineRule="auto"/>
        <w:rPr>
          <w:rFonts w:ascii="Times New Roman" w:hAnsi="Times New Roman" w:cs="Times New Roman"/>
        </w:rPr>
      </w:pPr>
    </w:p>
    <w:p w14:paraId="2DC3111E" w14:textId="42C8EF89" w:rsidR="00A97853" w:rsidRPr="00A97853" w:rsidRDefault="00A97853" w:rsidP="00A97853">
      <w:pPr>
        <w:pStyle w:val="ListParagraph"/>
        <w:numPr>
          <w:ilvl w:val="0"/>
          <w:numId w:val="9"/>
        </w:numPr>
        <w:rPr>
          <w:b/>
          <w:i/>
        </w:rPr>
      </w:pPr>
      <w:r>
        <w:rPr>
          <w:b/>
          <w:i/>
        </w:rPr>
        <w:t xml:space="preserve">When Uncertainty is Low and  </w:t>
      </w:r>
      <w:r w:rsidR="00C366FA">
        <w:rPr>
          <w:b/>
          <w:i/>
        </w:rPr>
        <w:t>the Market is Thin:  The Case of the (Relatively) Complete Contingent Contract</w:t>
      </w:r>
    </w:p>
    <w:p w14:paraId="4C36D7E1" w14:textId="7B69364C" w:rsidR="00551120" w:rsidRPr="0027049B" w:rsidRDefault="007A3D45" w:rsidP="00A97853">
      <w:pPr>
        <w:spacing w:line="360" w:lineRule="auto"/>
        <w:ind w:firstLine="440"/>
        <w:rPr>
          <w:rFonts w:ascii="Times New Roman" w:hAnsi="Times New Roman" w:cs="Times New Roman"/>
        </w:rPr>
      </w:pPr>
      <w:r w:rsidRPr="0027049B">
        <w:rPr>
          <w:rFonts w:ascii="Times New Roman" w:hAnsi="Times New Roman" w:cs="Times New Roman"/>
        </w:rPr>
        <w:t>U</w:t>
      </w:r>
      <w:r w:rsidR="005762EA" w:rsidRPr="0027049B">
        <w:rPr>
          <w:rFonts w:ascii="Times New Roman" w:hAnsi="Times New Roman" w:cs="Times New Roman"/>
        </w:rPr>
        <w:t xml:space="preserve">ncertainty and scale together determine whether and how the contract in question deals successfully with the Goldilocks Problem.  </w:t>
      </w:r>
      <w:r w:rsidR="004461A7" w:rsidRPr="0027049B">
        <w:rPr>
          <w:rFonts w:ascii="Times New Roman" w:hAnsi="Times New Roman" w:cs="Times New Roman"/>
        </w:rPr>
        <w:t xml:space="preserve">Begin with the case of thin markets where the key variable is the level of uncertainty:  </w:t>
      </w:r>
      <w:r w:rsidR="00E50220" w:rsidRPr="0027049B">
        <w:rPr>
          <w:rFonts w:ascii="Times New Roman" w:hAnsi="Times New Roman" w:cs="Times New Roman"/>
        </w:rPr>
        <w:t xml:space="preserve">For </w:t>
      </w:r>
      <w:r w:rsidR="004461A7" w:rsidRPr="0027049B">
        <w:rPr>
          <w:rFonts w:ascii="Times New Roman" w:hAnsi="Times New Roman" w:cs="Times New Roman"/>
        </w:rPr>
        <w:t>example,</w:t>
      </w:r>
      <w:r w:rsidR="00E50220" w:rsidRPr="0027049B">
        <w:rPr>
          <w:rFonts w:ascii="Times New Roman" w:hAnsi="Times New Roman" w:cs="Times New Roman"/>
        </w:rPr>
        <w:t xml:space="preserve"> think about t</w:t>
      </w:r>
      <w:r w:rsidR="00B36BE6" w:rsidRPr="0027049B">
        <w:rPr>
          <w:rFonts w:ascii="Times New Roman" w:hAnsi="Times New Roman" w:cs="Times New Roman"/>
        </w:rPr>
        <w:t xml:space="preserve">he </w:t>
      </w:r>
      <w:r w:rsidR="00E50220" w:rsidRPr="0027049B">
        <w:rPr>
          <w:rFonts w:ascii="Times New Roman" w:hAnsi="Times New Roman" w:cs="Times New Roman"/>
        </w:rPr>
        <w:t xml:space="preserve">battle for evolving technology in the market for electronics.  Here the principal </w:t>
      </w:r>
      <w:r w:rsidR="0093411E" w:rsidRPr="0027049B">
        <w:rPr>
          <w:rFonts w:ascii="Times New Roman" w:hAnsi="Times New Roman" w:cs="Times New Roman"/>
        </w:rPr>
        <w:t xml:space="preserve">actors </w:t>
      </w:r>
      <w:r w:rsidR="00E50220" w:rsidRPr="0027049B">
        <w:rPr>
          <w:rFonts w:ascii="Times New Roman" w:hAnsi="Times New Roman" w:cs="Times New Roman"/>
        </w:rPr>
        <w:t xml:space="preserve">are </w:t>
      </w:r>
      <w:r w:rsidR="00CA108F" w:rsidRPr="0027049B">
        <w:rPr>
          <w:rFonts w:ascii="Times New Roman" w:hAnsi="Times New Roman" w:cs="Times New Roman"/>
        </w:rPr>
        <w:t>few and scattered.</w:t>
      </w:r>
      <w:r w:rsidR="0093411E" w:rsidRPr="0027049B">
        <w:rPr>
          <w:rFonts w:ascii="Times New Roman" w:hAnsi="Times New Roman" w:cs="Times New Roman"/>
        </w:rPr>
        <w:t xml:space="preserve"> </w:t>
      </w:r>
      <w:r w:rsidR="00E50220" w:rsidRPr="0027049B">
        <w:rPr>
          <w:rFonts w:ascii="Times New Roman" w:hAnsi="Times New Roman" w:cs="Times New Roman"/>
        </w:rPr>
        <w:t>Thus, unlike</w:t>
      </w:r>
      <w:r w:rsidR="00694850" w:rsidRPr="0027049B">
        <w:rPr>
          <w:rFonts w:ascii="Times New Roman" w:hAnsi="Times New Roman" w:cs="Times New Roman"/>
        </w:rPr>
        <w:t>,</w:t>
      </w:r>
      <w:r w:rsidR="00E50220" w:rsidRPr="0027049B">
        <w:rPr>
          <w:rFonts w:ascii="Times New Roman" w:hAnsi="Times New Roman" w:cs="Times New Roman"/>
        </w:rPr>
        <w:t xml:space="preserve"> say</w:t>
      </w:r>
      <w:r w:rsidR="00694850" w:rsidRPr="0027049B">
        <w:rPr>
          <w:rFonts w:ascii="Times New Roman" w:hAnsi="Times New Roman" w:cs="Times New Roman"/>
        </w:rPr>
        <w:t>,</w:t>
      </w:r>
      <w:r w:rsidR="00E50220" w:rsidRPr="0027049B">
        <w:rPr>
          <w:rFonts w:ascii="Times New Roman" w:hAnsi="Times New Roman" w:cs="Times New Roman"/>
        </w:rPr>
        <w:t xml:space="preserve"> the grain industry, </w:t>
      </w:r>
      <w:r w:rsidR="004461A7" w:rsidRPr="0027049B">
        <w:rPr>
          <w:rFonts w:ascii="Times New Roman" w:hAnsi="Times New Roman" w:cs="Times New Roman"/>
        </w:rPr>
        <w:t xml:space="preserve">these </w:t>
      </w:r>
      <w:r w:rsidR="0093411E" w:rsidRPr="0027049B">
        <w:rPr>
          <w:rFonts w:ascii="Times New Roman" w:hAnsi="Times New Roman" w:cs="Times New Roman"/>
        </w:rPr>
        <w:t xml:space="preserve">parties cannot rely on </w:t>
      </w:r>
      <w:r w:rsidR="004C0FD2" w:rsidRPr="0027049B">
        <w:rPr>
          <w:rFonts w:ascii="Times New Roman" w:hAnsi="Times New Roman" w:cs="Times New Roman"/>
        </w:rPr>
        <w:t>a</w:t>
      </w:r>
      <w:r w:rsidR="00AA0D35" w:rsidRPr="0027049B">
        <w:rPr>
          <w:rFonts w:ascii="Times New Roman" w:hAnsi="Times New Roman" w:cs="Times New Roman"/>
        </w:rPr>
        <w:t xml:space="preserve"> trade association </w:t>
      </w:r>
      <w:r w:rsidR="0093411E" w:rsidRPr="0027049B">
        <w:rPr>
          <w:rFonts w:ascii="Times New Roman" w:hAnsi="Times New Roman" w:cs="Times New Roman"/>
        </w:rPr>
        <w:t>to institutionalize the</w:t>
      </w:r>
      <w:r w:rsidR="00551120" w:rsidRPr="0027049B">
        <w:rPr>
          <w:rFonts w:ascii="Times New Roman" w:hAnsi="Times New Roman" w:cs="Times New Roman"/>
        </w:rPr>
        <w:t>ir design solutions because the market is too thin.</w:t>
      </w:r>
      <w:r w:rsidR="0093411E" w:rsidRPr="0027049B">
        <w:rPr>
          <w:rFonts w:ascii="Times New Roman" w:hAnsi="Times New Roman" w:cs="Times New Roman"/>
        </w:rPr>
        <w:t xml:space="preserve"> In these circumstances, contract design occurs primarily in bilateral relationships</w:t>
      </w:r>
      <w:r w:rsidR="00AA0D35" w:rsidRPr="0027049B">
        <w:rPr>
          <w:rFonts w:ascii="Times New Roman" w:hAnsi="Times New Roman" w:cs="Times New Roman"/>
        </w:rPr>
        <w:t xml:space="preserve"> and</w:t>
      </w:r>
      <w:r w:rsidR="004C0FD2" w:rsidRPr="0027049B">
        <w:rPr>
          <w:rFonts w:ascii="Times New Roman" w:hAnsi="Times New Roman" w:cs="Times New Roman"/>
        </w:rPr>
        <w:t>, here,</w:t>
      </w:r>
      <w:r w:rsidR="00AA0D35" w:rsidRPr="0027049B">
        <w:rPr>
          <w:rFonts w:ascii="Times New Roman" w:hAnsi="Times New Roman" w:cs="Times New Roman"/>
        </w:rPr>
        <w:t xml:space="preserve"> </w:t>
      </w:r>
      <w:r w:rsidR="0093411E" w:rsidRPr="0027049B">
        <w:rPr>
          <w:rFonts w:ascii="Times New Roman" w:hAnsi="Times New Roman" w:cs="Times New Roman"/>
        </w:rPr>
        <w:t>the level of uncertainty will determine how the parties respond to</w:t>
      </w:r>
      <w:r w:rsidR="005A5664" w:rsidRPr="0027049B">
        <w:rPr>
          <w:rFonts w:ascii="Times New Roman" w:hAnsi="Times New Roman" w:cs="Times New Roman"/>
        </w:rPr>
        <w:t xml:space="preserve"> the problem of shading</w:t>
      </w:r>
      <w:r w:rsidR="0093411E" w:rsidRPr="0027049B">
        <w:rPr>
          <w:rFonts w:ascii="Times New Roman" w:hAnsi="Times New Roman" w:cs="Times New Roman"/>
        </w:rPr>
        <w:t xml:space="preserve">. </w:t>
      </w:r>
      <w:r w:rsidR="00422A95" w:rsidRPr="0027049B">
        <w:rPr>
          <w:rFonts w:ascii="Times New Roman" w:hAnsi="Times New Roman" w:cs="Times New Roman"/>
        </w:rPr>
        <w:t xml:space="preserve"> </w:t>
      </w:r>
    </w:p>
    <w:p w14:paraId="1F6F11AF" w14:textId="77777777" w:rsidR="00551120" w:rsidRPr="0027049B" w:rsidRDefault="00551120" w:rsidP="00A97853">
      <w:pPr>
        <w:pStyle w:val="ListParagraph"/>
        <w:ind w:left="0"/>
      </w:pPr>
    </w:p>
    <w:p w14:paraId="15A38DF9" w14:textId="056BFF37" w:rsidR="0082312C" w:rsidRDefault="0093411E" w:rsidP="004B55AD">
      <w:pPr>
        <w:pStyle w:val="Document"/>
        <w:spacing w:line="360" w:lineRule="auto"/>
        <w:jc w:val="left"/>
        <w:rPr>
          <w:rFonts w:ascii="Times New Roman" w:hAnsi="Times New Roman"/>
          <w:sz w:val="24"/>
          <w:szCs w:val="24"/>
        </w:rPr>
      </w:pPr>
      <w:r w:rsidRPr="0027049B">
        <w:rPr>
          <w:rFonts w:ascii="Times New Roman" w:hAnsi="Times New Roman"/>
          <w:sz w:val="24"/>
          <w:szCs w:val="24"/>
        </w:rPr>
        <w:t xml:space="preserve">When uncertainty is low </w:t>
      </w:r>
      <w:r w:rsidR="007939D6" w:rsidRPr="0027049B">
        <w:rPr>
          <w:rFonts w:ascii="Times New Roman" w:hAnsi="Times New Roman"/>
          <w:sz w:val="24"/>
          <w:szCs w:val="24"/>
        </w:rPr>
        <w:t xml:space="preserve">–say, </w:t>
      </w:r>
      <w:r w:rsidR="009D00D8" w:rsidRPr="0027049B">
        <w:rPr>
          <w:rFonts w:ascii="Times New Roman" w:hAnsi="Times New Roman"/>
          <w:sz w:val="24"/>
          <w:szCs w:val="24"/>
        </w:rPr>
        <w:t xml:space="preserve">for example, a </w:t>
      </w:r>
      <w:r w:rsidR="00702BE6" w:rsidRPr="0027049B">
        <w:rPr>
          <w:rFonts w:ascii="Times New Roman" w:hAnsi="Times New Roman"/>
          <w:sz w:val="24"/>
          <w:szCs w:val="24"/>
        </w:rPr>
        <w:t>one year license of patented electronic software --</w:t>
      </w:r>
      <w:r w:rsidR="00694850" w:rsidRPr="0027049B">
        <w:rPr>
          <w:rFonts w:ascii="Times New Roman" w:hAnsi="Times New Roman"/>
          <w:sz w:val="24"/>
          <w:szCs w:val="24"/>
        </w:rPr>
        <w:t xml:space="preserve"> sophisticated parties can turn to </w:t>
      </w:r>
      <w:r w:rsidR="0090167D" w:rsidRPr="0027049B">
        <w:rPr>
          <w:rFonts w:ascii="Times New Roman" w:hAnsi="Times New Roman"/>
          <w:sz w:val="24"/>
          <w:szCs w:val="24"/>
        </w:rPr>
        <w:t>customized, completely specified</w:t>
      </w:r>
      <w:r w:rsidR="00702BE6" w:rsidRPr="0027049B">
        <w:rPr>
          <w:rFonts w:ascii="Times New Roman" w:hAnsi="Times New Roman"/>
          <w:sz w:val="24"/>
          <w:szCs w:val="24"/>
        </w:rPr>
        <w:t xml:space="preserve"> </w:t>
      </w:r>
      <w:r w:rsidR="00702BE6" w:rsidRPr="0027049B">
        <w:rPr>
          <w:rFonts w:ascii="Times New Roman" w:hAnsi="Times New Roman"/>
          <w:sz w:val="24"/>
          <w:szCs w:val="24"/>
        </w:rPr>
        <w:lastRenderedPageBreak/>
        <w:t>contracting.</w:t>
      </w:r>
      <w:r w:rsidR="00D031D3">
        <w:rPr>
          <w:rStyle w:val="FootnoteReference"/>
          <w:rFonts w:ascii="Times New Roman" w:hAnsi="Times New Roman"/>
          <w:sz w:val="24"/>
          <w:szCs w:val="24"/>
        </w:rPr>
        <w:footnoteReference w:id="47"/>
      </w:r>
      <w:r w:rsidR="00702BE6" w:rsidRPr="0027049B">
        <w:rPr>
          <w:rFonts w:ascii="Times New Roman" w:hAnsi="Times New Roman"/>
          <w:sz w:val="24"/>
          <w:szCs w:val="24"/>
        </w:rPr>
        <w:t xml:space="preserve">  B</w:t>
      </w:r>
      <w:r w:rsidR="00694850" w:rsidRPr="0027049B">
        <w:rPr>
          <w:rFonts w:ascii="Times New Roman" w:hAnsi="Times New Roman"/>
          <w:sz w:val="24"/>
          <w:szCs w:val="24"/>
        </w:rPr>
        <w:t>y in</w:t>
      </w:r>
      <w:r w:rsidR="00702BE6" w:rsidRPr="0027049B">
        <w:rPr>
          <w:rFonts w:ascii="Times New Roman" w:hAnsi="Times New Roman"/>
          <w:sz w:val="24"/>
          <w:szCs w:val="24"/>
        </w:rPr>
        <w:t>corporating</w:t>
      </w:r>
      <w:r w:rsidR="00694850" w:rsidRPr="0027049B">
        <w:rPr>
          <w:rFonts w:ascii="Times New Roman" w:hAnsi="Times New Roman"/>
          <w:sz w:val="24"/>
          <w:szCs w:val="24"/>
        </w:rPr>
        <w:t xml:space="preserve"> </w:t>
      </w:r>
      <w:r w:rsidR="00702BE6" w:rsidRPr="0027049B">
        <w:rPr>
          <w:rFonts w:ascii="Times New Roman" w:hAnsi="Times New Roman"/>
          <w:sz w:val="24"/>
          <w:szCs w:val="24"/>
        </w:rPr>
        <w:t xml:space="preserve">any </w:t>
      </w:r>
      <w:r w:rsidR="00694850" w:rsidRPr="0027049B">
        <w:rPr>
          <w:rFonts w:ascii="Times New Roman" w:hAnsi="Times New Roman"/>
          <w:sz w:val="24"/>
          <w:szCs w:val="24"/>
        </w:rPr>
        <w:t xml:space="preserve">context </w:t>
      </w:r>
      <w:r w:rsidR="00702BE6" w:rsidRPr="0027049B">
        <w:rPr>
          <w:rFonts w:ascii="Times New Roman" w:hAnsi="Times New Roman"/>
          <w:sz w:val="24"/>
          <w:szCs w:val="24"/>
        </w:rPr>
        <w:t>thought to be relevant as part of the “terms” of a</w:t>
      </w:r>
      <w:r w:rsidR="00694850" w:rsidRPr="0027049B">
        <w:rPr>
          <w:rFonts w:ascii="Times New Roman" w:hAnsi="Times New Roman"/>
          <w:sz w:val="24"/>
          <w:szCs w:val="24"/>
        </w:rPr>
        <w:t xml:space="preserve"> complete, formal agreement they can specify precisely the evidentiary base </w:t>
      </w:r>
      <w:r w:rsidR="00702BE6" w:rsidRPr="0027049B">
        <w:rPr>
          <w:rFonts w:ascii="Times New Roman" w:hAnsi="Times New Roman"/>
          <w:sz w:val="24"/>
          <w:szCs w:val="24"/>
        </w:rPr>
        <w:t xml:space="preserve">that will be made </w:t>
      </w:r>
      <w:r w:rsidR="00694850" w:rsidRPr="0027049B">
        <w:rPr>
          <w:rFonts w:ascii="Times New Roman" w:hAnsi="Times New Roman"/>
          <w:sz w:val="24"/>
          <w:szCs w:val="24"/>
        </w:rPr>
        <w:t xml:space="preserve">available to a court while still preserving the court’s historic role in policing opportunism. </w:t>
      </w:r>
      <w:r w:rsidR="009D00D8" w:rsidRPr="0027049B">
        <w:rPr>
          <w:rFonts w:ascii="Times New Roman" w:hAnsi="Times New Roman"/>
          <w:sz w:val="24"/>
          <w:szCs w:val="24"/>
        </w:rPr>
        <w:t xml:space="preserve">For example, the contract </w:t>
      </w:r>
      <w:r w:rsidR="00B72EA7" w:rsidRPr="0027049B">
        <w:rPr>
          <w:rFonts w:ascii="Times New Roman" w:hAnsi="Times New Roman"/>
          <w:sz w:val="24"/>
          <w:szCs w:val="24"/>
        </w:rPr>
        <w:t>can provide clear directions to a court of the context within whic</w:t>
      </w:r>
      <w:r w:rsidR="00B72EA7" w:rsidRPr="00B72EA7">
        <w:rPr>
          <w:rFonts w:ascii="Times New Roman" w:hAnsi="Times New Roman"/>
          <w:sz w:val="24"/>
          <w:szCs w:val="24"/>
        </w:rPr>
        <w:t xml:space="preserve">h the </w:t>
      </w:r>
      <w:r w:rsidR="00702BE6">
        <w:rPr>
          <w:rFonts w:ascii="Times New Roman" w:hAnsi="Times New Roman"/>
          <w:sz w:val="24"/>
          <w:szCs w:val="24"/>
        </w:rPr>
        <w:t>specified</w:t>
      </w:r>
      <w:r w:rsidR="009D00D8">
        <w:rPr>
          <w:rFonts w:ascii="Times New Roman" w:hAnsi="Times New Roman"/>
          <w:sz w:val="24"/>
          <w:szCs w:val="24"/>
        </w:rPr>
        <w:t xml:space="preserve"> </w:t>
      </w:r>
      <w:r w:rsidR="00702BE6">
        <w:rPr>
          <w:rFonts w:ascii="Times New Roman" w:hAnsi="Times New Roman"/>
          <w:sz w:val="24"/>
          <w:szCs w:val="24"/>
        </w:rPr>
        <w:t xml:space="preserve">uses of the licensed intellectual property are to </w:t>
      </w:r>
      <w:r w:rsidR="00B72EA7" w:rsidRPr="00B72EA7">
        <w:rPr>
          <w:rFonts w:ascii="Times New Roman" w:hAnsi="Times New Roman"/>
          <w:sz w:val="24"/>
          <w:szCs w:val="24"/>
        </w:rPr>
        <w:t xml:space="preserve">be interpreted. </w:t>
      </w:r>
      <w:r w:rsidR="00B72EA7">
        <w:rPr>
          <w:rFonts w:ascii="Times New Roman" w:hAnsi="Times New Roman"/>
          <w:sz w:val="24"/>
          <w:szCs w:val="24"/>
        </w:rPr>
        <w:t xml:space="preserve"> This</w:t>
      </w:r>
      <w:r w:rsidR="00B72EA7" w:rsidRPr="00B72EA7">
        <w:rPr>
          <w:rFonts w:ascii="Times New Roman" w:hAnsi="Times New Roman"/>
          <w:sz w:val="24"/>
          <w:szCs w:val="24"/>
        </w:rPr>
        <w:t xml:space="preserve"> might include (a)</w:t>
      </w:r>
      <w:r w:rsidR="00702BE6">
        <w:rPr>
          <w:rFonts w:ascii="Times New Roman" w:hAnsi="Times New Roman"/>
          <w:sz w:val="24"/>
          <w:szCs w:val="24"/>
        </w:rPr>
        <w:t xml:space="preserve"> a </w:t>
      </w:r>
      <w:r w:rsidR="00B72EA7" w:rsidRPr="00B72EA7">
        <w:rPr>
          <w:rFonts w:ascii="Times New Roman" w:hAnsi="Times New Roman"/>
          <w:sz w:val="24"/>
          <w:szCs w:val="24"/>
        </w:rPr>
        <w:t>“whereas” or “purpose” clause that describe</w:t>
      </w:r>
      <w:r w:rsidR="00702BE6">
        <w:rPr>
          <w:rFonts w:ascii="Times New Roman" w:hAnsi="Times New Roman"/>
          <w:sz w:val="24"/>
          <w:szCs w:val="24"/>
        </w:rPr>
        <w:t>s</w:t>
      </w:r>
      <w:r w:rsidR="00B72EA7" w:rsidRPr="00B72EA7">
        <w:rPr>
          <w:rFonts w:ascii="Times New Roman" w:hAnsi="Times New Roman"/>
          <w:sz w:val="24"/>
          <w:szCs w:val="24"/>
        </w:rPr>
        <w:t xml:space="preserve"> the parties’ business plan</w:t>
      </w:r>
      <w:r w:rsidR="00702BE6">
        <w:rPr>
          <w:rFonts w:ascii="Times New Roman" w:hAnsi="Times New Roman"/>
          <w:sz w:val="24"/>
          <w:szCs w:val="24"/>
        </w:rPr>
        <w:t>s</w:t>
      </w:r>
      <w:r w:rsidR="00B72EA7" w:rsidRPr="00B72EA7">
        <w:rPr>
          <w:rFonts w:ascii="Times New Roman" w:hAnsi="Times New Roman"/>
          <w:sz w:val="24"/>
          <w:szCs w:val="24"/>
        </w:rPr>
        <w:t>;</w:t>
      </w:r>
      <w:r w:rsidR="00311897">
        <w:rPr>
          <w:rStyle w:val="FootnoteReference"/>
          <w:rFonts w:ascii="Times New Roman" w:hAnsi="Times New Roman"/>
          <w:sz w:val="24"/>
          <w:szCs w:val="24"/>
        </w:rPr>
        <w:footnoteReference w:id="48"/>
      </w:r>
      <w:r w:rsidR="00B72EA7" w:rsidRPr="00B72EA7">
        <w:rPr>
          <w:rFonts w:ascii="Times New Roman" w:hAnsi="Times New Roman"/>
          <w:sz w:val="24"/>
          <w:szCs w:val="24"/>
        </w:rPr>
        <w:t xml:space="preserve"> (b) </w:t>
      </w:r>
      <w:r w:rsidR="00702BE6">
        <w:rPr>
          <w:rFonts w:ascii="Times New Roman" w:hAnsi="Times New Roman"/>
          <w:sz w:val="24"/>
          <w:szCs w:val="24"/>
        </w:rPr>
        <w:t xml:space="preserve">a series of </w:t>
      </w:r>
      <w:r w:rsidR="00B72EA7" w:rsidRPr="00B72EA7">
        <w:rPr>
          <w:rFonts w:ascii="Times New Roman" w:hAnsi="Times New Roman"/>
          <w:sz w:val="24"/>
          <w:szCs w:val="24"/>
        </w:rPr>
        <w:t>definition clauses that ascribe particular meanings to words and terms that may vary from their plain</w:t>
      </w:r>
      <w:r w:rsidR="003744A4">
        <w:rPr>
          <w:rFonts w:ascii="Times New Roman" w:hAnsi="Times New Roman"/>
          <w:sz w:val="24"/>
          <w:szCs w:val="24"/>
        </w:rPr>
        <w:t xml:space="preserve"> or ordinary</w:t>
      </w:r>
      <w:r w:rsidR="00311897">
        <w:rPr>
          <w:rFonts w:ascii="Times New Roman" w:hAnsi="Times New Roman"/>
          <w:sz w:val="24"/>
          <w:szCs w:val="24"/>
        </w:rPr>
        <w:t xml:space="preserve"> meaning;</w:t>
      </w:r>
      <w:r w:rsidR="00311897">
        <w:rPr>
          <w:rStyle w:val="FootnoteReference"/>
          <w:rFonts w:ascii="Times New Roman" w:hAnsi="Times New Roman"/>
          <w:sz w:val="24"/>
          <w:szCs w:val="24"/>
        </w:rPr>
        <w:footnoteReference w:id="49"/>
      </w:r>
      <w:r w:rsidR="00311897">
        <w:rPr>
          <w:rFonts w:ascii="Times New Roman" w:hAnsi="Times New Roman"/>
          <w:sz w:val="24"/>
          <w:szCs w:val="24"/>
        </w:rPr>
        <w:t xml:space="preserve"> </w:t>
      </w:r>
      <w:r w:rsidR="00B72EA7" w:rsidRPr="00B72EA7">
        <w:rPr>
          <w:rFonts w:ascii="Times New Roman" w:hAnsi="Times New Roman"/>
          <w:sz w:val="24"/>
          <w:szCs w:val="24"/>
        </w:rPr>
        <w:t xml:space="preserve">and (c) </w:t>
      </w:r>
      <w:r w:rsidR="00B72EA7" w:rsidRPr="00B72EA7">
        <w:rPr>
          <w:rFonts w:ascii="Times New Roman" w:hAnsi="Times New Roman"/>
          <w:sz w:val="24"/>
          <w:szCs w:val="24"/>
        </w:rPr>
        <w:lastRenderedPageBreak/>
        <w:t xml:space="preserve">appendices that provide </w:t>
      </w:r>
      <w:r w:rsidR="003744A4">
        <w:rPr>
          <w:rFonts w:ascii="Times New Roman" w:hAnsi="Times New Roman"/>
          <w:sz w:val="24"/>
          <w:szCs w:val="24"/>
        </w:rPr>
        <w:t>illustrations or examples of the permissible</w:t>
      </w:r>
      <w:r w:rsidR="00B72EA7" w:rsidRPr="00B72EA7">
        <w:rPr>
          <w:rFonts w:ascii="Times New Roman" w:hAnsi="Times New Roman"/>
          <w:sz w:val="24"/>
          <w:szCs w:val="24"/>
        </w:rPr>
        <w:t xml:space="preserve"> </w:t>
      </w:r>
      <w:r w:rsidR="003744A4">
        <w:rPr>
          <w:rFonts w:ascii="Times New Roman" w:hAnsi="Times New Roman"/>
          <w:sz w:val="24"/>
          <w:szCs w:val="24"/>
        </w:rPr>
        <w:t xml:space="preserve">uses of the licensed intellectual property </w:t>
      </w:r>
      <w:r w:rsidR="00B72EA7" w:rsidRPr="00B72EA7">
        <w:rPr>
          <w:rFonts w:ascii="Times New Roman" w:hAnsi="Times New Roman"/>
          <w:sz w:val="24"/>
          <w:szCs w:val="24"/>
        </w:rPr>
        <w:t>as well as any memoranda the parties want an interpreting court to consider in interpreting the contract’s text.</w:t>
      </w:r>
      <w:r w:rsidR="00311897">
        <w:rPr>
          <w:rStyle w:val="FootnoteReference"/>
          <w:rFonts w:ascii="Times New Roman" w:hAnsi="Times New Roman"/>
          <w:sz w:val="24"/>
          <w:szCs w:val="24"/>
        </w:rPr>
        <w:footnoteReference w:id="50"/>
      </w:r>
      <w:r w:rsidR="00B72EA7" w:rsidRPr="00B72EA7">
        <w:rPr>
          <w:rFonts w:ascii="Times New Roman" w:hAnsi="Times New Roman"/>
          <w:sz w:val="24"/>
          <w:szCs w:val="24"/>
        </w:rPr>
        <w:t xml:space="preserve">  Alternatively, the parties can specify in the agreement that the meaning of terms should be interpreted according to the customs and </w:t>
      </w:r>
      <w:r w:rsidR="003744A4">
        <w:rPr>
          <w:rFonts w:ascii="Times New Roman" w:hAnsi="Times New Roman"/>
          <w:sz w:val="24"/>
          <w:szCs w:val="24"/>
        </w:rPr>
        <w:t>norms</w:t>
      </w:r>
      <w:r w:rsidR="00B72EA7" w:rsidRPr="00B72EA7">
        <w:rPr>
          <w:rFonts w:ascii="Times New Roman" w:hAnsi="Times New Roman"/>
          <w:sz w:val="24"/>
          <w:szCs w:val="24"/>
        </w:rPr>
        <w:t xml:space="preserve"> of a particular industry</w:t>
      </w:r>
      <w:r w:rsidR="003744A4">
        <w:rPr>
          <w:rFonts w:ascii="Times New Roman" w:hAnsi="Times New Roman"/>
          <w:sz w:val="24"/>
          <w:szCs w:val="24"/>
        </w:rPr>
        <w:t xml:space="preserve"> or commercial community</w:t>
      </w:r>
      <w:r w:rsidR="00B72EA7" w:rsidRPr="00B72EA7">
        <w:rPr>
          <w:rFonts w:ascii="Times New Roman" w:hAnsi="Times New Roman"/>
          <w:sz w:val="24"/>
          <w:szCs w:val="24"/>
        </w:rPr>
        <w:t xml:space="preserve">. </w:t>
      </w:r>
      <w:r w:rsidR="001D3D69">
        <w:rPr>
          <w:rFonts w:ascii="Times New Roman" w:hAnsi="Times New Roman"/>
          <w:sz w:val="24"/>
          <w:szCs w:val="24"/>
        </w:rPr>
        <w:t xml:space="preserve"> This additional context can supplement precise specifications of outcomes while still constraining a future court’s discretion to range more widely than the parties want ex ante.</w:t>
      </w:r>
    </w:p>
    <w:p w14:paraId="5AFC8FB7" w14:textId="77777777" w:rsidR="0082312C" w:rsidRDefault="0082312C" w:rsidP="004B55AD">
      <w:pPr>
        <w:pStyle w:val="Document"/>
        <w:spacing w:line="360" w:lineRule="auto"/>
        <w:jc w:val="left"/>
        <w:rPr>
          <w:rFonts w:ascii="Times New Roman" w:hAnsi="Times New Roman"/>
          <w:sz w:val="24"/>
          <w:szCs w:val="24"/>
        </w:rPr>
      </w:pPr>
    </w:p>
    <w:p w14:paraId="0D11A0FC" w14:textId="18040FE3" w:rsidR="00694850" w:rsidRDefault="0082312C" w:rsidP="001D3D69">
      <w:pPr>
        <w:pStyle w:val="Document"/>
        <w:spacing w:line="360" w:lineRule="auto"/>
        <w:jc w:val="left"/>
        <w:rPr>
          <w:rFonts w:ascii="Times New Roman" w:hAnsi="Times New Roman"/>
          <w:sz w:val="24"/>
          <w:szCs w:val="24"/>
        </w:rPr>
      </w:pPr>
      <w:r>
        <w:rPr>
          <w:rFonts w:ascii="Times New Roman" w:hAnsi="Times New Roman"/>
          <w:sz w:val="24"/>
          <w:szCs w:val="24"/>
        </w:rPr>
        <w:t xml:space="preserve"> The point</w:t>
      </w:r>
      <w:r w:rsidR="003744A4">
        <w:rPr>
          <w:rFonts w:ascii="Times New Roman" w:hAnsi="Times New Roman"/>
          <w:sz w:val="24"/>
          <w:szCs w:val="24"/>
        </w:rPr>
        <w:t xml:space="preserve"> here i</w:t>
      </w:r>
      <w:r>
        <w:rPr>
          <w:rFonts w:ascii="Times New Roman" w:hAnsi="Times New Roman"/>
          <w:sz w:val="24"/>
          <w:szCs w:val="24"/>
        </w:rPr>
        <w:t xml:space="preserve">s </w:t>
      </w:r>
      <w:r w:rsidR="003744A4">
        <w:rPr>
          <w:rFonts w:ascii="Times New Roman" w:hAnsi="Times New Roman"/>
          <w:sz w:val="24"/>
          <w:szCs w:val="24"/>
        </w:rPr>
        <w:t xml:space="preserve">simply </w:t>
      </w:r>
      <w:r>
        <w:rPr>
          <w:rFonts w:ascii="Times New Roman" w:hAnsi="Times New Roman"/>
          <w:sz w:val="24"/>
          <w:szCs w:val="24"/>
        </w:rPr>
        <w:t>that</w:t>
      </w:r>
      <w:r w:rsidR="009D00D8">
        <w:rPr>
          <w:rFonts w:ascii="Times New Roman" w:hAnsi="Times New Roman"/>
          <w:sz w:val="24"/>
          <w:szCs w:val="24"/>
        </w:rPr>
        <w:t xml:space="preserve"> </w:t>
      </w:r>
      <w:r w:rsidR="003744A4">
        <w:rPr>
          <w:rFonts w:ascii="Times New Roman" w:hAnsi="Times New Roman"/>
          <w:sz w:val="24"/>
          <w:szCs w:val="24"/>
        </w:rPr>
        <w:t>low uncertainty permits parties to design a contract that</w:t>
      </w:r>
      <w:r w:rsidR="00694850" w:rsidRPr="00694850">
        <w:rPr>
          <w:rFonts w:ascii="Times New Roman" w:hAnsi="Times New Roman"/>
          <w:sz w:val="24"/>
          <w:szCs w:val="24"/>
        </w:rPr>
        <w:t xml:space="preserve"> dramatically reduc</w:t>
      </w:r>
      <w:r w:rsidR="0090167D">
        <w:rPr>
          <w:rFonts w:ascii="Times New Roman" w:hAnsi="Times New Roman"/>
          <w:sz w:val="24"/>
          <w:szCs w:val="24"/>
        </w:rPr>
        <w:t>es</w:t>
      </w:r>
      <w:r w:rsidR="00694850" w:rsidRPr="00694850">
        <w:rPr>
          <w:rFonts w:ascii="Times New Roman" w:hAnsi="Times New Roman"/>
          <w:sz w:val="24"/>
          <w:szCs w:val="24"/>
        </w:rPr>
        <w:t xml:space="preserve"> (if not eliminat</w:t>
      </w:r>
      <w:r w:rsidR="0090167D">
        <w:rPr>
          <w:rFonts w:ascii="Times New Roman" w:hAnsi="Times New Roman"/>
          <w:sz w:val="24"/>
          <w:szCs w:val="24"/>
        </w:rPr>
        <w:t>es</w:t>
      </w:r>
      <w:r w:rsidR="00694850" w:rsidRPr="00694850">
        <w:rPr>
          <w:rFonts w:ascii="Times New Roman" w:hAnsi="Times New Roman"/>
          <w:sz w:val="24"/>
          <w:szCs w:val="24"/>
        </w:rPr>
        <w:t xml:space="preserve">) the need for courts to inquire into </w:t>
      </w:r>
      <w:r w:rsidR="003744A4">
        <w:rPr>
          <w:rFonts w:ascii="Times New Roman" w:hAnsi="Times New Roman"/>
          <w:sz w:val="24"/>
          <w:szCs w:val="24"/>
        </w:rPr>
        <w:t>any evidence extrinsic to the written agreement.</w:t>
      </w:r>
      <w:r w:rsidR="00B83A75">
        <w:rPr>
          <w:rStyle w:val="FootnoteReference"/>
          <w:rFonts w:ascii="Times New Roman" w:hAnsi="Times New Roman"/>
          <w:sz w:val="24"/>
          <w:szCs w:val="24"/>
        </w:rPr>
        <w:footnoteReference w:id="51"/>
      </w:r>
      <w:r w:rsidR="00694850" w:rsidRPr="00694850">
        <w:rPr>
          <w:rFonts w:ascii="Times New Roman" w:hAnsi="Times New Roman"/>
          <w:sz w:val="24"/>
          <w:szCs w:val="24"/>
        </w:rPr>
        <w:t xml:space="preserve">  </w:t>
      </w:r>
      <w:r w:rsidR="00B75919">
        <w:rPr>
          <w:rFonts w:ascii="Times New Roman" w:hAnsi="Times New Roman"/>
          <w:sz w:val="24"/>
          <w:szCs w:val="24"/>
        </w:rPr>
        <w:t>B</w:t>
      </w:r>
      <w:r w:rsidR="00694850" w:rsidRPr="00694850">
        <w:rPr>
          <w:rFonts w:ascii="Times New Roman" w:hAnsi="Times New Roman"/>
          <w:sz w:val="24"/>
          <w:szCs w:val="24"/>
        </w:rPr>
        <w:t>y reducing</w:t>
      </w:r>
      <w:r w:rsidR="00317AD8">
        <w:rPr>
          <w:rFonts w:ascii="Times New Roman" w:hAnsi="Times New Roman"/>
          <w:sz w:val="24"/>
          <w:szCs w:val="24"/>
        </w:rPr>
        <w:t xml:space="preserve"> the burden on a court to characterize ex post shading behavior</w:t>
      </w:r>
      <w:r w:rsidR="001D3D69">
        <w:rPr>
          <w:rFonts w:ascii="Times New Roman" w:hAnsi="Times New Roman"/>
          <w:sz w:val="24"/>
          <w:szCs w:val="24"/>
        </w:rPr>
        <w:t xml:space="preserve"> accurately</w:t>
      </w:r>
      <w:r w:rsidR="00317AD8">
        <w:rPr>
          <w:rFonts w:ascii="Times New Roman" w:hAnsi="Times New Roman"/>
          <w:sz w:val="24"/>
          <w:szCs w:val="24"/>
        </w:rPr>
        <w:t xml:space="preserve">, </w:t>
      </w:r>
      <w:r w:rsidR="001D3D69">
        <w:rPr>
          <w:rFonts w:ascii="Times New Roman" w:hAnsi="Times New Roman"/>
          <w:sz w:val="24"/>
          <w:szCs w:val="24"/>
        </w:rPr>
        <w:t>a (relatively) complete contingent contract</w:t>
      </w:r>
      <w:r w:rsidR="00B75919">
        <w:rPr>
          <w:rFonts w:ascii="Times New Roman" w:hAnsi="Times New Roman"/>
          <w:sz w:val="24"/>
          <w:szCs w:val="24"/>
        </w:rPr>
        <w:t xml:space="preserve"> </w:t>
      </w:r>
      <w:r w:rsidR="00694850" w:rsidRPr="00694850">
        <w:rPr>
          <w:rFonts w:ascii="Times New Roman" w:hAnsi="Times New Roman"/>
          <w:sz w:val="24"/>
          <w:szCs w:val="24"/>
        </w:rPr>
        <w:t>also reduces the likelihood of a court making a mistake in interpreting the contract</w:t>
      </w:r>
      <w:r w:rsidR="001D3D69">
        <w:rPr>
          <w:rFonts w:ascii="Times New Roman" w:hAnsi="Times New Roman"/>
          <w:sz w:val="24"/>
          <w:szCs w:val="24"/>
        </w:rPr>
        <w:t>’s terms</w:t>
      </w:r>
      <w:r w:rsidR="009D00D8">
        <w:rPr>
          <w:rFonts w:ascii="Times New Roman" w:hAnsi="Times New Roman"/>
          <w:sz w:val="24"/>
          <w:szCs w:val="24"/>
        </w:rPr>
        <w:t>.  C</w:t>
      </w:r>
      <w:r w:rsidR="00694850" w:rsidRPr="00694850">
        <w:rPr>
          <w:rFonts w:ascii="Times New Roman" w:hAnsi="Times New Roman"/>
          <w:sz w:val="24"/>
          <w:szCs w:val="24"/>
        </w:rPr>
        <w:t xml:space="preserve">orrespondingly, </w:t>
      </w:r>
      <w:r w:rsidR="009D00D8">
        <w:rPr>
          <w:rFonts w:ascii="Times New Roman" w:hAnsi="Times New Roman"/>
          <w:sz w:val="24"/>
          <w:szCs w:val="24"/>
        </w:rPr>
        <w:t>it reduces</w:t>
      </w:r>
      <w:r w:rsidR="00694850" w:rsidRPr="00694850">
        <w:rPr>
          <w:rFonts w:ascii="Times New Roman" w:hAnsi="Times New Roman"/>
          <w:sz w:val="24"/>
          <w:szCs w:val="24"/>
        </w:rPr>
        <w:t xml:space="preserve"> the incentive for the party disfavored by </w:t>
      </w:r>
      <w:r w:rsidR="005A294A">
        <w:rPr>
          <w:rFonts w:ascii="Times New Roman" w:hAnsi="Times New Roman"/>
          <w:sz w:val="24"/>
          <w:szCs w:val="24"/>
        </w:rPr>
        <w:t>subsequent events</w:t>
      </w:r>
      <w:r w:rsidR="00694850" w:rsidRPr="00694850">
        <w:rPr>
          <w:rFonts w:ascii="Times New Roman" w:hAnsi="Times New Roman"/>
          <w:sz w:val="24"/>
          <w:szCs w:val="24"/>
        </w:rPr>
        <w:t xml:space="preserve"> </w:t>
      </w:r>
      <w:r>
        <w:rPr>
          <w:rFonts w:ascii="Times New Roman" w:hAnsi="Times New Roman"/>
          <w:sz w:val="24"/>
          <w:szCs w:val="24"/>
        </w:rPr>
        <w:t xml:space="preserve">(who, after all, is the likely </w:t>
      </w:r>
      <w:proofErr w:type="spellStart"/>
      <w:r>
        <w:rPr>
          <w:rFonts w:ascii="Times New Roman" w:hAnsi="Times New Roman"/>
          <w:sz w:val="24"/>
          <w:szCs w:val="24"/>
        </w:rPr>
        <w:t>shader</w:t>
      </w:r>
      <w:proofErr w:type="spellEnd"/>
      <w:r>
        <w:rPr>
          <w:rFonts w:ascii="Times New Roman" w:hAnsi="Times New Roman"/>
          <w:sz w:val="24"/>
          <w:szCs w:val="24"/>
        </w:rPr>
        <w:t xml:space="preserve">) </w:t>
      </w:r>
      <w:r w:rsidR="00694850" w:rsidRPr="00694850">
        <w:rPr>
          <w:rFonts w:ascii="Times New Roman" w:hAnsi="Times New Roman"/>
          <w:sz w:val="24"/>
          <w:szCs w:val="24"/>
        </w:rPr>
        <w:t xml:space="preserve">to engage in </w:t>
      </w:r>
      <w:r w:rsidR="00B75919">
        <w:rPr>
          <w:rFonts w:ascii="Times New Roman" w:hAnsi="Times New Roman"/>
          <w:sz w:val="24"/>
          <w:szCs w:val="24"/>
        </w:rPr>
        <w:t>opportunistic</w:t>
      </w:r>
      <w:r w:rsidR="00694850" w:rsidRPr="00694850">
        <w:rPr>
          <w:rFonts w:ascii="Times New Roman" w:hAnsi="Times New Roman"/>
          <w:sz w:val="24"/>
          <w:szCs w:val="24"/>
        </w:rPr>
        <w:t xml:space="preserve"> litigation in the first place</w:t>
      </w:r>
      <w:r w:rsidR="0090167D">
        <w:rPr>
          <w:rFonts w:ascii="Times New Roman" w:hAnsi="Times New Roman"/>
          <w:sz w:val="24"/>
          <w:szCs w:val="24"/>
        </w:rPr>
        <w:t xml:space="preserve">.  </w:t>
      </w:r>
      <w:r w:rsidR="00694850" w:rsidRPr="00694850">
        <w:rPr>
          <w:rFonts w:ascii="Times New Roman" w:hAnsi="Times New Roman"/>
          <w:sz w:val="24"/>
          <w:szCs w:val="24"/>
        </w:rPr>
        <w:t xml:space="preserve">In the setting of a </w:t>
      </w:r>
      <w:r w:rsidR="0090167D">
        <w:rPr>
          <w:rFonts w:ascii="Times New Roman" w:hAnsi="Times New Roman"/>
          <w:sz w:val="24"/>
          <w:szCs w:val="24"/>
        </w:rPr>
        <w:t>completely specified</w:t>
      </w:r>
      <w:r w:rsidR="00694850" w:rsidRPr="00694850">
        <w:rPr>
          <w:rFonts w:ascii="Times New Roman" w:hAnsi="Times New Roman"/>
          <w:sz w:val="24"/>
          <w:szCs w:val="24"/>
        </w:rPr>
        <w:t xml:space="preserve"> contract, therefore, courts are less mistake prone and parties less likely to encourage mistakes, resulting in less </w:t>
      </w:r>
      <w:r w:rsidR="0090167D">
        <w:rPr>
          <w:rFonts w:ascii="Times New Roman" w:hAnsi="Times New Roman"/>
          <w:sz w:val="24"/>
          <w:szCs w:val="24"/>
        </w:rPr>
        <w:t>risk of judicial error.</w:t>
      </w:r>
    </w:p>
    <w:p w14:paraId="730498C8" w14:textId="77777777" w:rsidR="0090167D" w:rsidRDefault="0090167D" w:rsidP="004B55AD">
      <w:pPr>
        <w:pStyle w:val="Document"/>
        <w:spacing w:line="360" w:lineRule="auto"/>
        <w:jc w:val="left"/>
        <w:rPr>
          <w:rFonts w:ascii="Times New Roman" w:hAnsi="Times New Roman"/>
          <w:sz w:val="24"/>
          <w:szCs w:val="24"/>
        </w:rPr>
      </w:pPr>
    </w:p>
    <w:p w14:paraId="6ADBF9C7" w14:textId="319A3609" w:rsidR="00A97853" w:rsidRPr="00A97853" w:rsidRDefault="00A97853" w:rsidP="004B55AD">
      <w:pPr>
        <w:pStyle w:val="Document"/>
        <w:numPr>
          <w:ilvl w:val="0"/>
          <w:numId w:val="9"/>
        </w:numPr>
        <w:spacing w:line="360" w:lineRule="auto"/>
        <w:jc w:val="left"/>
        <w:rPr>
          <w:rFonts w:ascii="Times New Roman" w:hAnsi="Times New Roman"/>
          <w:b/>
          <w:i/>
          <w:sz w:val="24"/>
          <w:szCs w:val="24"/>
        </w:rPr>
      </w:pPr>
      <w:r w:rsidRPr="00A97853">
        <w:rPr>
          <w:rFonts w:ascii="Times New Roman" w:hAnsi="Times New Roman"/>
          <w:b/>
          <w:i/>
          <w:sz w:val="24"/>
          <w:szCs w:val="24"/>
        </w:rPr>
        <w:t xml:space="preserve"> Bilateral Contracting Under Moderate Uncertainty</w:t>
      </w:r>
      <w:r w:rsidR="00C366FA">
        <w:rPr>
          <w:rFonts w:ascii="Times New Roman" w:hAnsi="Times New Roman"/>
          <w:b/>
          <w:i/>
          <w:sz w:val="24"/>
          <w:szCs w:val="24"/>
        </w:rPr>
        <w:t>: The Case of Rules and Standards</w:t>
      </w:r>
    </w:p>
    <w:p w14:paraId="0FEC9445" w14:textId="72ADABC5" w:rsidR="00B75919" w:rsidRDefault="00B72EA7" w:rsidP="004B55AD">
      <w:pPr>
        <w:pStyle w:val="Document"/>
        <w:spacing w:line="360" w:lineRule="auto"/>
        <w:jc w:val="left"/>
        <w:rPr>
          <w:rFonts w:ascii="Times New Roman" w:hAnsi="Times New Roman"/>
          <w:sz w:val="24"/>
          <w:szCs w:val="24"/>
        </w:rPr>
      </w:pPr>
      <w:r w:rsidRPr="00B72EA7">
        <w:rPr>
          <w:rFonts w:ascii="Times New Roman" w:hAnsi="Times New Roman"/>
          <w:sz w:val="24"/>
          <w:szCs w:val="24"/>
        </w:rPr>
        <w:t xml:space="preserve">Now suppose the contracting parties confront moderate </w:t>
      </w:r>
      <w:r w:rsidR="00317AD8">
        <w:rPr>
          <w:rFonts w:ascii="Times New Roman" w:hAnsi="Times New Roman"/>
          <w:sz w:val="24"/>
          <w:szCs w:val="24"/>
        </w:rPr>
        <w:t xml:space="preserve">levels of </w:t>
      </w:r>
      <w:r w:rsidRPr="00B72EA7">
        <w:rPr>
          <w:rFonts w:ascii="Times New Roman" w:hAnsi="Times New Roman"/>
          <w:sz w:val="24"/>
          <w:szCs w:val="24"/>
        </w:rPr>
        <w:t xml:space="preserve">uncertainty, </w:t>
      </w:r>
      <w:r w:rsidR="0082312C">
        <w:rPr>
          <w:rFonts w:ascii="Times New Roman" w:hAnsi="Times New Roman"/>
          <w:sz w:val="24"/>
          <w:szCs w:val="24"/>
        </w:rPr>
        <w:t>in the sense</w:t>
      </w:r>
      <w:r w:rsidRPr="00B72EA7">
        <w:rPr>
          <w:rFonts w:ascii="Times New Roman" w:hAnsi="Times New Roman"/>
          <w:sz w:val="24"/>
          <w:szCs w:val="24"/>
        </w:rPr>
        <w:t xml:space="preserve"> that they can identify what should happen in some but not every future state of the world.  One clear example is the</w:t>
      </w:r>
      <w:r w:rsidR="00317AD8">
        <w:rPr>
          <w:rFonts w:ascii="Times New Roman" w:hAnsi="Times New Roman"/>
          <w:sz w:val="24"/>
          <w:szCs w:val="24"/>
        </w:rPr>
        <w:t xml:space="preserve"> decision to hire</w:t>
      </w:r>
      <w:r w:rsidRPr="00B72EA7">
        <w:rPr>
          <w:rFonts w:ascii="Times New Roman" w:hAnsi="Times New Roman"/>
          <w:sz w:val="24"/>
          <w:szCs w:val="24"/>
        </w:rPr>
        <w:t xml:space="preserve"> a </w:t>
      </w:r>
      <w:r w:rsidR="005A294A">
        <w:rPr>
          <w:rFonts w:ascii="Times New Roman" w:hAnsi="Times New Roman"/>
          <w:sz w:val="24"/>
          <w:szCs w:val="24"/>
        </w:rPr>
        <w:t xml:space="preserve">sales representative to market the </w:t>
      </w:r>
      <w:r w:rsidR="00317AD8">
        <w:rPr>
          <w:rFonts w:ascii="Times New Roman" w:hAnsi="Times New Roman"/>
          <w:sz w:val="24"/>
          <w:szCs w:val="24"/>
        </w:rPr>
        <w:t xml:space="preserve">firm’s </w:t>
      </w:r>
      <w:r w:rsidR="005A294A">
        <w:rPr>
          <w:rFonts w:ascii="Times New Roman" w:hAnsi="Times New Roman"/>
          <w:sz w:val="24"/>
          <w:szCs w:val="24"/>
        </w:rPr>
        <w:t xml:space="preserve">electronic </w:t>
      </w:r>
      <w:r w:rsidR="0082312C">
        <w:rPr>
          <w:rFonts w:ascii="Times New Roman" w:hAnsi="Times New Roman"/>
          <w:sz w:val="24"/>
          <w:szCs w:val="24"/>
        </w:rPr>
        <w:t xml:space="preserve">products following their manufacture. </w:t>
      </w:r>
      <w:r w:rsidR="0082312C" w:rsidRPr="00B72EA7">
        <w:rPr>
          <w:rFonts w:ascii="Times New Roman" w:hAnsi="Times New Roman"/>
          <w:sz w:val="24"/>
          <w:szCs w:val="24"/>
        </w:rPr>
        <w:t xml:space="preserve"> The parties can specify what they </w:t>
      </w:r>
      <w:r w:rsidR="0082312C" w:rsidRPr="00B72EA7">
        <w:rPr>
          <w:rFonts w:ascii="Times New Roman" w:hAnsi="Times New Roman"/>
          <w:sz w:val="24"/>
          <w:szCs w:val="24"/>
        </w:rPr>
        <w:lastRenderedPageBreak/>
        <w:t xml:space="preserve">want the agent to accomplish as matters stand at the time of drafting the contract: they can identify the </w:t>
      </w:r>
      <w:r w:rsidR="0082312C">
        <w:rPr>
          <w:rFonts w:ascii="Times New Roman" w:hAnsi="Times New Roman"/>
          <w:sz w:val="24"/>
          <w:szCs w:val="24"/>
        </w:rPr>
        <w:t xml:space="preserve">potential </w:t>
      </w:r>
      <w:r w:rsidR="0082312C" w:rsidRPr="00B72EA7">
        <w:rPr>
          <w:rFonts w:ascii="Times New Roman" w:hAnsi="Times New Roman"/>
          <w:sz w:val="24"/>
          <w:szCs w:val="24"/>
        </w:rPr>
        <w:t>customer</w:t>
      </w:r>
      <w:r w:rsidR="0082312C">
        <w:rPr>
          <w:rFonts w:ascii="Times New Roman" w:hAnsi="Times New Roman"/>
          <w:sz w:val="24"/>
          <w:szCs w:val="24"/>
        </w:rPr>
        <w:t xml:space="preserve"> base</w:t>
      </w:r>
      <w:r w:rsidR="0082312C" w:rsidRPr="00B72EA7">
        <w:rPr>
          <w:rFonts w:ascii="Times New Roman" w:hAnsi="Times New Roman"/>
          <w:sz w:val="24"/>
          <w:szCs w:val="24"/>
        </w:rPr>
        <w:t>, or geographic region, and they can spec</w:t>
      </w:r>
      <w:r w:rsidR="0082312C">
        <w:rPr>
          <w:rFonts w:ascii="Times New Roman" w:hAnsi="Times New Roman"/>
          <w:sz w:val="24"/>
          <w:szCs w:val="24"/>
        </w:rPr>
        <w:t>ify sales goals.  But they can’</w:t>
      </w:r>
      <w:r w:rsidR="0082312C" w:rsidRPr="00B72EA7">
        <w:rPr>
          <w:rFonts w:ascii="Times New Roman" w:hAnsi="Times New Roman"/>
          <w:sz w:val="24"/>
          <w:szCs w:val="24"/>
        </w:rPr>
        <w:t>t detail how the agent will try to market the product</w:t>
      </w:r>
      <w:r w:rsidR="0082312C">
        <w:rPr>
          <w:rFonts w:ascii="Times New Roman" w:hAnsi="Times New Roman"/>
          <w:sz w:val="24"/>
          <w:szCs w:val="24"/>
        </w:rPr>
        <w:t>s</w:t>
      </w:r>
      <w:r w:rsidR="0082312C" w:rsidRPr="00B72EA7">
        <w:rPr>
          <w:rFonts w:ascii="Times New Roman" w:hAnsi="Times New Roman"/>
          <w:sz w:val="24"/>
          <w:szCs w:val="24"/>
        </w:rPr>
        <w:t xml:space="preserve">, how the agent will allocate her time across different products, or what adjustments the agent should make if market conditions change or </w:t>
      </w:r>
      <w:r w:rsidR="0082312C">
        <w:rPr>
          <w:rFonts w:ascii="Times New Roman" w:hAnsi="Times New Roman"/>
          <w:sz w:val="24"/>
          <w:szCs w:val="24"/>
        </w:rPr>
        <w:t>competitors alter their strategies.</w:t>
      </w:r>
      <w:r w:rsidR="0082312C" w:rsidRPr="00B72EA7">
        <w:rPr>
          <w:rFonts w:ascii="Times New Roman" w:hAnsi="Times New Roman"/>
          <w:sz w:val="24"/>
          <w:szCs w:val="24"/>
        </w:rPr>
        <w:t xml:space="preserve"> Similarly, </w:t>
      </w:r>
      <w:r w:rsidR="0082312C">
        <w:rPr>
          <w:rFonts w:ascii="Times New Roman" w:hAnsi="Times New Roman"/>
          <w:sz w:val="24"/>
          <w:szCs w:val="24"/>
        </w:rPr>
        <w:t xml:space="preserve">what if the product is a new drug and the </w:t>
      </w:r>
      <w:r w:rsidR="00317AD8">
        <w:rPr>
          <w:rFonts w:ascii="Times New Roman" w:hAnsi="Times New Roman"/>
          <w:sz w:val="24"/>
          <w:szCs w:val="24"/>
        </w:rPr>
        <w:t xml:space="preserve">contract </w:t>
      </w:r>
      <w:r w:rsidR="004A734B">
        <w:rPr>
          <w:rFonts w:ascii="Times New Roman" w:hAnsi="Times New Roman"/>
          <w:sz w:val="24"/>
          <w:szCs w:val="24"/>
        </w:rPr>
        <w:t xml:space="preserve">contemplates a license </w:t>
      </w:r>
      <w:r w:rsidR="00317AD8">
        <w:rPr>
          <w:rFonts w:ascii="Times New Roman" w:hAnsi="Times New Roman"/>
          <w:sz w:val="24"/>
          <w:szCs w:val="24"/>
        </w:rPr>
        <w:t xml:space="preserve">between </w:t>
      </w:r>
      <w:r w:rsidR="004A734B">
        <w:rPr>
          <w:rFonts w:ascii="Times New Roman" w:hAnsi="Times New Roman"/>
          <w:sz w:val="24"/>
          <w:szCs w:val="24"/>
        </w:rPr>
        <w:t>the</w:t>
      </w:r>
      <w:r w:rsidR="0082312C" w:rsidRPr="00B72EA7">
        <w:rPr>
          <w:rFonts w:ascii="Times New Roman" w:hAnsi="Times New Roman"/>
          <w:sz w:val="24"/>
          <w:szCs w:val="24"/>
        </w:rPr>
        <w:t xml:space="preserve"> owner of the intellectual property</w:t>
      </w:r>
      <w:r w:rsidR="004A734B">
        <w:rPr>
          <w:rFonts w:ascii="Times New Roman" w:hAnsi="Times New Roman"/>
          <w:sz w:val="24"/>
          <w:szCs w:val="24"/>
        </w:rPr>
        <w:t xml:space="preserve"> and an agent who </w:t>
      </w:r>
      <w:r w:rsidR="0082312C">
        <w:rPr>
          <w:rFonts w:ascii="Times New Roman" w:hAnsi="Times New Roman"/>
          <w:sz w:val="24"/>
          <w:szCs w:val="24"/>
        </w:rPr>
        <w:t>agrees to secure</w:t>
      </w:r>
      <w:r w:rsidR="0082312C" w:rsidRPr="00B72EA7">
        <w:rPr>
          <w:rFonts w:ascii="Times New Roman" w:hAnsi="Times New Roman"/>
          <w:sz w:val="24"/>
          <w:szCs w:val="24"/>
        </w:rPr>
        <w:t xml:space="preserve"> regulatory approval</w:t>
      </w:r>
      <w:r w:rsidR="0027049B">
        <w:rPr>
          <w:rFonts w:ascii="Times New Roman" w:hAnsi="Times New Roman"/>
          <w:sz w:val="24"/>
          <w:szCs w:val="24"/>
        </w:rPr>
        <w:t xml:space="preserve"> and commercialize the product.</w:t>
      </w:r>
      <w:r w:rsidR="0082312C">
        <w:rPr>
          <w:rFonts w:ascii="Times New Roman" w:hAnsi="Times New Roman"/>
          <w:sz w:val="24"/>
          <w:szCs w:val="24"/>
        </w:rPr>
        <w:t xml:space="preserve"> </w:t>
      </w:r>
      <w:r w:rsidR="00714C75">
        <w:rPr>
          <w:rFonts w:ascii="Times New Roman" w:hAnsi="Times New Roman"/>
          <w:sz w:val="24"/>
          <w:szCs w:val="24"/>
        </w:rPr>
        <w:t>Contracts such as these</w:t>
      </w:r>
      <w:r w:rsidR="0027049B">
        <w:rPr>
          <w:rFonts w:ascii="Times New Roman" w:hAnsi="Times New Roman"/>
          <w:sz w:val="24"/>
          <w:szCs w:val="24"/>
        </w:rPr>
        <w:t xml:space="preserve"> exemplars</w:t>
      </w:r>
      <w:r w:rsidR="00714C75">
        <w:rPr>
          <w:rFonts w:ascii="Times New Roman" w:hAnsi="Times New Roman"/>
          <w:sz w:val="24"/>
          <w:szCs w:val="24"/>
        </w:rPr>
        <w:t xml:space="preserve"> </w:t>
      </w:r>
      <w:r w:rsidR="0082312C">
        <w:rPr>
          <w:rFonts w:ascii="Times New Roman" w:hAnsi="Times New Roman"/>
          <w:sz w:val="24"/>
          <w:szCs w:val="24"/>
        </w:rPr>
        <w:t xml:space="preserve">will </w:t>
      </w:r>
      <w:r w:rsidR="005A294A">
        <w:rPr>
          <w:rFonts w:ascii="Times New Roman" w:hAnsi="Times New Roman"/>
          <w:sz w:val="24"/>
          <w:szCs w:val="24"/>
        </w:rPr>
        <w:t xml:space="preserve">typically charge the </w:t>
      </w:r>
      <w:r w:rsidR="003B4E82">
        <w:rPr>
          <w:rFonts w:ascii="Times New Roman" w:hAnsi="Times New Roman"/>
          <w:sz w:val="24"/>
          <w:szCs w:val="24"/>
        </w:rPr>
        <w:t>agent/</w:t>
      </w:r>
      <w:r w:rsidR="00B75919">
        <w:rPr>
          <w:rFonts w:ascii="Times New Roman" w:hAnsi="Times New Roman"/>
          <w:sz w:val="24"/>
          <w:szCs w:val="24"/>
        </w:rPr>
        <w:t>licensee</w:t>
      </w:r>
      <w:r w:rsidRPr="00B72EA7">
        <w:rPr>
          <w:rFonts w:ascii="Times New Roman" w:hAnsi="Times New Roman"/>
          <w:sz w:val="24"/>
          <w:szCs w:val="24"/>
        </w:rPr>
        <w:t xml:space="preserve"> with using “commercially reasonable</w:t>
      </w:r>
      <w:r w:rsidR="003B4E82">
        <w:rPr>
          <w:rFonts w:ascii="Times New Roman" w:hAnsi="Times New Roman"/>
          <w:sz w:val="24"/>
          <w:szCs w:val="24"/>
        </w:rPr>
        <w:t>”</w:t>
      </w:r>
      <w:r w:rsidR="005A294A">
        <w:rPr>
          <w:rFonts w:ascii="Times New Roman" w:hAnsi="Times New Roman"/>
          <w:sz w:val="24"/>
          <w:szCs w:val="24"/>
        </w:rPr>
        <w:t xml:space="preserve"> or </w:t>
      </w:r>
      <w:r w:rsidR="003B4E82">
        <w:rPr>
          <w:rFonts w:ascii="Times New Roman" w:hAnsi="Times New Roman"/>
          <w:sz w:val="24"/>
          <w:szCs w:val="24"/>
        </w:rPr>
        <w:t>“</w:t>
      </w:r>
      <w:r w:rsidR="005A294A">
        <w:rPr>
          <w:rFonts w:ascii="Times New Roman" w:hAnsi="Times New Roman"/>
          <w:sz w:val="24"/>
          <w:szCs w:val="24"/>
        </w:rPr>
        <w:t>best</w:t>
      </w:r>
      <w:r w:rsidR="003B4E82">
        <w:rPr>
          <w:rFonts w:ascii="Times New Roman" w:hAnsi="Times New Roman"/>
          <w:sz w:val="24"/>
          <w:szCs w:val="24"/>
        </w:rPr>
        <w:t>”</w:t>
      </w:r>
      <w:r w:rsidR="005A294A">
        <w:rPr>
          <w:rFonts w:ascii="Times New Roman" w:hAnsi="Times New Roman"/>
          <w:sz w:val="24"/>
          <w:szCs w:val="24"/>
        </w:rPr>
        <w:t xml:space="preserve"> </w:t>
      </w:r>
      <w:r w:rsidRPr="00B72EA7">
        <w:rPr>
          <w:rFonts w:ascii="Times New Roman" w:hAnsi="Times New Roman"/>
          <w:sz w:val="24"/>
          <w:szCs w:val="24"/>
        </w:rPr>
        <w:t>efforts to accomplish the</w:t>
      </w:r>
      <w:r w:rsidR="003B4E82">
        <w:rPr>
          <w:rFonts w:ascii="Times New Roman" w:hAnsi="Times New Roman"/>
          <w:sz w:val="24"/>
          <w:szCs w:val="24"/>
        </w:rPr>
        <w:t xml:space="preserve"> specified</w:t>
      </w:r>
      <w:r w:rsidRPr="00B72EA7">
        <w:rPr>
          <w:rFonts w:ascii="Times New Roman" w:hAnsi="Times New Roman"/>
          <w:sz w:val="24"/>
          <w:szCs w:val="24"/>
        </w:rPr>
        <w:t xml:space="preserve"> tasks, reflecting the fact that the appropriate strategy is dependent on the outcome of uncertain events, </w:t>
      </w:r>
      <w:r w:rsidR="005A294A">
        <w:rPr>
          <w:rFonts w:ascii="Times New Roman" w:hAnsi="Times New Roman"/>
          <w:sz w:val="24"/>
          <w:szCs w:val="24"/>
        </w:rPr>
        <w:t>such as</w:t>
      </w:r>
      <w:r w:rsidRPr="00B72EA7">
        <w:rPr>
          <w:rFonts w:ascii="Times New Roman" w:hAnsi="Times New Roman"/>
          <w:sz w:val="24"/>
          <w:szCs w:val="24"/>
        </w:rPr>
        <w:t xml:space="preserve"> the</w:t>
      </w:r>
      <w:r w:rsidR="003B4E82">
        <w:rPr>
          <w:rFonts w:ascii="Times New Roman" w:hAnsi="Times New Roman"/>
          <w:sz w:val="24"/>
          <w:szCs w:val="24"/>
        </w:rPr>
        <w:t xml:space="preserve"> market demand </w:t>
      </w:r>
      <w:r w:rsidR="003B4E82" w:rsidRPr="00B72EA7">
        <w:rPr>
          <w:rFonts w:ascii="Times New Roman" w:hAnsi="Times New Roman"/>
          <w:sz w:val="24"/>
          <w:szCs w:val="24"/>
        </w:rPr>
        <w:t>and competitive conditions</w:t>
      </w:r>
      <w:r w:rsidR="003B4E82">
        <w:rPr>
          <w:rFonts w:ascii="Times New Roman" w:hAnsi="Times New Roman"/>
          <w:sz w:val="24"/>
          <w:szCs w:val="24"/>
        </w:rPr>
        <w:t xml:space="preserve"> for the product in the first </w:t>
      </w:r>
      <w:r w:rsidR="0027049B">
        <w:rPr>
          <w:rFonts w:ascii="Times New Roman" w:hAnsi="Times New Roman"/>
          <w:sz w:val="24"/>
          <w:szCs w:val="24"/>
        </w:rPr>
        <w:t>example</w:t>
      </w:r>
      <w:r w:rsidR="003B4E82">
        <w:rPr>
          <w:rFonts w:ascii="Times New Roman" w:hAnsi="Times New Roman"/>
          <w:sz w:val="24"/>
          <w:szCs w:val="24"/>
        </w:rPr>
        <w:t xml:space="preserve"> and the results of clinical tests</w:t>
      </w:r>
      <w:r w:rsidRPr="00B72EA7">
        <w:rPr>
          <w:rFonts w:ascii="Times New Roman" w:hAnsi="Times New Roman"/>
          <w:sz w:val="24"/>
          <w:szCs w:val="24"/>
        </w:rPr>
        <w:t xml:space="preserve"> </w:t>
      </w:r>
      <w:r w:rsidR="003B4E82">
        <w:rPr>
          <w:rFonts w:ascii="Times New Roman" w:hAnsi="Times New Roman"/>
          <w:sz w:val="24"/>
          <w:szCs w:val="24"/>
        </w:rPr>
        <w:t xml:space="preserve">and </w:t>
      </w:r>
      <w:r w:rsidRPr="00B72EA7">
        <w:rPr>
          <w:rFonts w:ascii="Times New Roman" w:hAnsi="Times New Roman"/>
          <w:sz w:val="24"/>
          <w:szCs w:val="24"/>
        </w:rPr>
        <w:t xml:space="preserve">the </w:t>
      </w:r>
      <w:r w:rsidR="00B75919">
        <w:rPr>
          <w:rFonts w:ascii="Times New Roman" w:hAnsi="Times New Roman"/>
          <w:sz w:val="24"/>
          <w:szCs w:val="24"/>
        </w:rPr>
        <w:t xml:space="preserve">course </w:t>
      </w:r>
      <w:r w:rsidRPr="00B72EA7">
        <w:rPr>
          <w:rFonts w:ascii="Times New Roman" w:hAnsi="Times New Roman"/>
          <w:sz w:val="24"/>
          <w:szCs w:val="24"/>
        </w:rPr>
        <w:t>of the regulatory process</w:t>
      </w:r>
      <w:r w:rsidR="003B4E82">
        <w:rPr>
          <w:rFonts w:ascii="Times New Roman" w:hAnsi="Times New Roman"/>
          <w:sz w:val="24"/>
          <w:szCs w:val="24"/>
        </w:rPr>
        <w:t xml:space="preserve"> in the second</w:t>
      </w:r>
      <w:r w:rsidR="0027049B">
        <w:rPr>
          <w:rFonts w:ascii="Times New Roman" w:hAnsi="Times New Roman"/>
          <w:sz w:val="24"/>
          <w:szCs w:val="24"/>
        </w:rPr>
        <w:t>.</w:t>
      </w:r>
      <w:r w:rsidR="00B83A75" w:rsidRPr="00B83A75">
        <w:rPr>
          <w:rStyle w:val="FootnoteReference"/>
          <w:rFonts w:ascii="Times New Roman" w:hAnsi="Times New Roman"/>
          <w:sz w:val="24"/>
          <w:szCs w:val="24"/>
        </w:rPr>
        <w:t xml:space="preserve"> </w:t>
      </w:r>
      <w:r w:rsidR="00B83A75">
        <w:rPr>
          <w:rStyle w:val="FootnoteReference"/>
          <w:rFonts w:ascii="Times New Roman" w:hAnsi="Times New Roman"/>
          <w:sz w:val="24"/>
          <w:szCs w:val="24"/>
        </w:rPr>
        <w:footnoteReference w:id="52"/>
      </w:r>
      <w:r w:rsidR="00B83A75" w:rsidRPr="00B72EA7">
        <w:rPr>
          <w:rFonts w:ascii="Times New Roman" w:hAnsi="Times New Roman"/>
          <w:sz w:val="24"/>
          <w:szCs w:val="24"/>
        </w:rPr>
        <w:t xml:space="preserve"> </w:t>
      </w:r>
      <w:r w:rsidR="00B75919">
        <w:rPr>
          <w:rFonts w:ascii="Times New Roman" w:hAnsi="Times New Roman"/>
          <w:sz w:val="24"/>
          <w:szCs w:val="24"/>
        </w:rPr>
        <w:t xml:space="preserve"> </w:t>
      </w:r>
      <w:r w:rsidR="00502BE0">
        <w:rPr>
          <w:rFonts w:ascii="Times New Roman" w:hAnsi="Times New Roman"/>
          <w:sz w:val="24"/>
          <w:szCs w:val="24"/>
        </w:rPr>
        <w:t xml:space="preserve">The reason to use standards is clear: </w:t>
      </w:r>
      <w:r w:rsidR="00502BE0" w:rsidRPr="00B72EA7">
        <w:rPr>
          <w:rFonts w:ascii="Times New Roman" w:hAnsi="Times New Roman"/>
          <w:sz w:val="24"/>
          <w:szCs w:val="24"/>
        </w:rPr>
        <w:t>Courts assess performance with respect to standards only after the relevant future even</w:t>
      </w:r>
      <w:r w:rsidR="00502BE0">
        <w:rPr>
          <w:rFonts w:ascii="Times New Roman" w:hAnsi="Times New Roman"/>
          <w:sz w:val="24"/>
          <w:szCs w:val="24"/>
        </w:rPr>
        <w:t>ts</w:t>
      </w:r>
      <w:r w:rsidR="00502BE0" w:rsidRPr="005D72DA">
        <w:rPr>
          <w:szCs w:val="24"/>
        </w:rPr>
        <w:t xml:space="preserve"> </w:t>
      </w:r>
      <w:r w:rsidR="00502BE0" w:rsidRPr="00B75919">
        <w:rPr>
          <w:rFonts w:ascii="Times New Roman" w:hAnsi="Times New Roman"/>
          <w:sz w:val="24"/>
          <w:szCs w:val="24"/>
        </w:rPr>
        <w:t xml:space="preserve">have occurred.  </w:t>
      </w:r>
      <w:r w:rsidR="00502BE0">
        <w:rPr>
          <w:rFonts w:ascii="Times New Roman" w:hAnsi="Times New Roman"/>
          <w:sz w:val="24"/>
          <w:szCs w:val="24"/>
        </w:rPr>
        <w:t>In this way,</w:t>
      </w:r>
      <w:r w:rsidR="00502BE0" w:rsidRPr="00B75919">
        <w:rPr>
          <w:rFonts w:ascii="Times New Roman" w:hAnsi="Times New Roman"/>
          <w:sz w:val="24"/>
          <w:szCs w:val="24"/>
        </w:rPr>
        <w:t xml:space="preserve"> parties can obtain the advantage of hindsight: at the time for dispute resolution, the court has information that at the time of drafting the contract the parties lacked</w:t>
      </w:r>
      <w:r w:rsidR="00B83A75">
        <w:rPr>
          <w:rFonts w:ascii="Times New Roman" w:hAnsi="Times New Roman"/>
          <w:sz w:val="24"/>
          <w:szCs w:val="24"/>
        </w:rPr>
        <w:t>.</w:t>
      </w:r>
    </w:p>
    <w:p w14:paraId="778FB32B" w14:textId="77777777" w:rsidR="00B75919" w:rsidRDefault="00B75919" w:rsidP="004B55AD">
      <w:pPr>
        <w:pStyle w:val="Document"/>
        <w:spacing w:line="360" w:lineRule="auto"/>
        <w:jc w:val="left"/>
        <w:rPr>
          <w:rFonts w:ascii="Times New Roman" w:hAnsi="Times New Roman"/>
          <w:sz w:val="24"/>
          <w:szCs w:val="24"/>
        </w:rPr>
      </w:pPr>
    </w:p>
    <w:p w14:paraId="1808EDB0" w14:textId="5EF22663" w:rsidR="00502BE0" w:rsidRDefault="00714C75" w:rsidP="004B55AD">
      <w:pPr>
        <w:pStyle w:val="Document"/>
        <w:spacing w:line="360" w:lineRule="auto"/>
        <w:jc w:val="left"/>
        <w:rPr>
          <w:rFonts w:ascii="Times New Roman" w:hAnsi="Times New Roman"/>
          <w:sz w:val="24"/>
          <w:szCs w:val="24"/>
        </w:rPr>
      </w:pPr>
      <w:r>
        <w:rPr>
          <w:rFonts w:ascii="Times New Roman" w:hAnsi="Times New Roman"/>
          <w:sz w:val="24"/>
          <w:szCs w:val="24"/>
        </w:rPr>
        <w:t xml:space="preserve">Both of these examples illustrate the design challenge of granting the agent some-- but not too much—discretion in choosing the strategies that best meet the parties ex ante expectations for performance.  </w:t>
      </w:r>
      <w:r w:rsidR="00B72EA7" w:rsidRPr="00B72EA7">
        <w:rPr>
          <w:rFonts w:ascii="Times New Roman" w:hAnsi="Times New Roman"/>
          <w:sz w:val="24"/>
          <w:szCs w:val="24"/>
        </w:rPr>
        <w:t xml:space="preserve">In this </w:t>
      </w:r>
      <w:r w:rsidR="0082312C">
        <w:rPr>
          <w:rFonts w:ascii="Times New Roman" w:hAnsi="Times New Roman"/>
          <w:sz w:val="24"/>
          <w:szCs w:val="24"/>
        </w:rPr>
        <w:t xml:space="preserve">intermediate </w:t>
      </w:r>
      <w:r w:rsidR="00B72EA7" w:rsidRPr="00B72EA7">
        <w:rPr>
          <w:rFonts w:ascii="Times New Roman" w:hAnsi="Times New Roman"/>
          <w:sz w:val="24"/>
          <w:szCs w:val="24"/>
        </w:rPr>
        <w:t>range of uncertainty</w:t>
      </w:r>
      <w:r>
        <w:rPr>
          <w:rFonts w:ascii="Times New Roman" w:hAnsi="Times New Roman"/>
          <w:sz w:val="24"/>
          <w:szCs w:val="24"/>
        </w:rPr>
        <w:t xml:space="preserve">, sophisticated parties </w:t>
      </w:r>
      <w:r w:rsidR="000A7026">
        <w:rPr>
          <w:rFonts w:ascii="Times New Roman" w:hAnsi="Times New Roman"/>
          <w:sz w:val="24"/>
          <w:szCs w:val="24"/>
        </w:rPr>
        <w:t xml:space="preserve">use design strategies to </w:t>
      </w:r>
      <w:r w:rsidR="00502BE0">
        <w:rPr>
          <w:rFonts w:ascii="Times New Roman" w:hAnsi="Times New Roman"/>
          <w:sz w:val="24"/>
          <w:szCs w:val="24"/>
        </w:rPr>
        <w:t xml:space="preserve">constrain the discretion of a </w:t>
      </w:r>
      <w:r w:rsidR="000A7026">
        <w:rPr>
          <w:rFonts w:ascii="Times New Roman" w:hAnsi="Times New Roman"/>
          <w:sz w:val="24"/>
          <w:szCs w:val="24"/>
        </w:rPr>
        <w:t xml:space="preserve">court later asked to </w:t>
      </w:r>
      <w:r w:rsidR="00502BE0">
        <w:rPr>
          <w:rFonts w:ascii="Times New Roman" w:hAnsi="Times New Roman"/>
          <w:sz w:val="24"/>
          <w:szCs w:val="24"/>
        </w:rPr>
        <w:t>assess the agent’s behavior under the applicable standard.  W</w:t>
      </w:r>
      <w:r w:rsidR="0082312C">
        <w:rPr>
          <w:rFonts w:ascii="Times New Roman" w:hAnsi="Times New Roman"/>
          <w:sz w:val="24"/>
          <w:szCs w:val="24"/>
        </w:rPr>
        <w:t xml:space="preserve">hat we see is that </w:t>
      </w:r>
      <w:r w:rsidR="00B72EA7" w:rsidRPr="00B72EA7">
        <w:rPr>
          <w:rFonts w:ascii="Times New Roman" w:hAnsi="Times New Roman"/>
          <w:sz w:val="24"/>
          <w:szCs w:val="24"/>
        </w:rPr>
        <w:t xml:space="preserve">parties </w:t>
      </w:r>
      <w:r w:rsidR="0082312C">
        <w:rPr>
          <w:rFonts w:ascii="Times New Roman" w:hAnsi="Times New Roman"/>
          <w:sz w:val="24"/>
          <w:szCs w:val="24"/>
        </w:rPr>
        <w:t xml:space="preserve">(or more accurately their transactional lawyers) </w:t>
      </w:r>
      <w:r w:rsidR="00B72EA7" w:rsidRPr="00B72EA7">
        <w:rPr>
          <w:rFonts w:ascii="Times New Roman" w:hAnsi="Times New Roman"/>
          <w:sz w:val="24"/>
          <w:szCs w:val="24"/>
        </w:rPr>
        <w:t>combine precise</w:t>
      </w:r>
      <w:r w:rsidR="0082312C">
        <w:rPr>
          <w:rFonts w:ascii="Times New Roman" w:hAnsi="Times New Roman"/>
          <w:sz w:val="24"/>
          <w:szCs w:val="24"/>
        </w:rPr>
        <w:t xml:space="preserve"> or specific obligations</w:t>
      </w:r>
      <w:r w:rsidR="0090167D">
        <w:rPr>
          <w:rFonts w:ascii="Times New Roman" w:hAnsi="Times New Roman"/>
          <w:sz w:val="24"/>
          <w:szCs w:val="24"/>
        </w:rPr>
        <w:t xml:space="preserve"> </w:t>
      </w:r>
      <w:r w:rsidR="00502BE0">
        <w:rPr>
          <w:rFonts w:ascii="Times New Roman" w:hAnsi="Times New Roman"/>
          <w:sz w:val="24"/>
          <w:szCs w:val="24"/>
        </w:rPr>
        <w:t xml:space="preserve">with the </w:t>
      </w:r>
      <w:r w:rsidR="0082312C">
        <w:rPr>
          <w:rFonts w:ascii="Times New Roman" w:hAnsi="Times New Roman"/>
          <w:sz w:val="24"/>
          <w:szCs w:val="24"/>
        </w:rPr>
        <w:t xml:space="preserve">broad </w:t>
      </w:r>
      <w:r w:rsidR="00B72EA7" w:rsidRPr="00B72EA7">
        <w:rPr>
          <w:rFonts w:ascii="Times New Roman" w:hAnsi="Times New Roman"/>
          <w:sz w:val="24"/>
          <w:szCs w:val="24"/>
        </w:rPr>
        <w:t>contractual standards</w:t>
      </w:r>
      <w:r w:rsidR="00502BE0">
        <w:rPr>
          <w:rFonts w:ascii="Times New Roman" w:hAnsi="Times New Roman"/>
          <w:sz w:val="24"/>
          <w:szCs w:val="24"/>
        </w:rPr>
        <w:t>.</w:t>
      </w:r>
      <w:r w:rsidR="00B83A75">
        <w:rPr>
          <w:rStyle w:val="FootnoteReference"/>
          <w:rFonts w:ascii="Times New Roman" w:hAnsi="Times New Roman"/>
          <w:sz w:val="24"/>
          <w:szCs w:val="24"/>
        </w:rPr>
        <w:footnoteReference w:id="53"/>
      </w:r>
      <w:r w:rsidR="00502BE0">
        <w:rPr>
          <w:rFonts w:ascii="Times New Roman" w:hAnsi="Times New Roman"/>
          <w:sz w:val="24"/>
          <w:szCs w:val="24"/>
        </w:rPr>
        <w:t xml:space="preserve">  The specific obligations</w:t>
      </w:r>
      <w:r w:rsidR="00B72EA7" w:rsidRPr="00B72EA7">
        <w:rPr>
          <w:rFonts w:ascii="Times New Roman" w:hAnsi="Times New Roman"/>
          <w:sz w:val="24"/>
          <w:szCs w:val="24"/>
        </w:rPr>
        <w:t xml:space="preserve"> </w:t>
      </w:r>
      <w:r w:rsidR="00502BE0">
        <w:rPr>
          <w:rFonts w:ascii="Times New Roman" w:hAnsi="Times New Roman"/>
          <w:sz w:val="24"/>
          <w:szCs w:val="24"/>
        </w:rPr>
        <w:t xml:space="preserve">are </w:t>
      </w:r>
      <w:r w:rsidR="00B72EA7" w:rsidRPr="00B72EA7">
        <w:rPr>
          <w:rFonts w:ascii="Times New Roman" w:hAnsi="Times New Roman"/>
          <w:sz w:val="24"/>
          <w:szCs w:val="24"/>
        </w:rPr>
        <w:t>directions about the context through which the standard should be applied.</w:t>
      </w:r>
      <w:r w:rsidR="00B75919">
        <w:rPr>
          <w:rFonts w:ascii="Times New Roman" w:hAnsi="Times New Roman"/>
          <w:sz w:val="24"/>
          <w:szCs w:val="24"/>
        </w:rPr>
        <w:t xml:space="preserve">  </w:t>
      </w:r>
      <w:r w:rsidR="001C707C">
        <w:rPr>
          <w:rFonts w:ascii="Times New Roman" w:hAnsi="Times New Roman"/>
          <w:sz w:val="24"/>
          <w:szCs w:val="24"/>
        </w:rPr>
        <w:t xml:space="preserve">By combining specific terms with </w:t>
      </w:r>
      <w:r w:rsidR="00B72EA7" w:rsidRPr="00B75919">
        <w:rPr>
          <w:rFonts w:ascii="Times New Roman" w:hAnsi="Times New Roman"/>
          <w:sz w:val="24"/>
          <w:szCs w:val="24"/>
        </w:rPr>
        <w:t>general</w:t>
      </w:r>
      <w:r w:rsidR="001C707C">
        <w:rPr>
          <w:rFonts w:ascii="Times New Roman" w:hAnsi="Times New Roman"/>
          <w:sz w:val="24"/>
          <w:szCs w:val="24"/>
        </w:rPr>
        <w:t>ized obligations the parties can</w:t>
      </w:r>
      <w:r w:rsidR="00B72EA7" w:rsidRPr="00B75919">
        <w:rPr>
          <w:rFonts w:ascii="Times New Roman" w:hAnsi="Times New Roman"/>
          <w:sz w:val="24"/>
          <w:szCs w:val="24"/>
        </w:rPr>
        <w:t xml:space="preserve"> </w:t>
      </w:r>
      <w:r w:rsidR="001C707C">
        <w:rPr>
          <w:rFonts w:ascii="Times New Roman" w:hAnsi="Times New Roman"/>
          <w:sz w:val="24"/>
          <w:szCs w:val="24"/>
        </w:rPr>
        <w:t xml:space="preserve">add </w:t>
      </w:r>
      <w:r w:rsidR="001C707C" w:rsidRPr="00B75919">
        <w:rPr>
          <w:rFonts w:ascii="Times New Roman" w:hAnsi="Times New Roman"/>
          <w:sz w:val="24"/>
          <w:szCs w:val="24"/>
        </w:rPr>
        <w:t xml:space="preserve">context evidence that is revealed over the </w:t>
      </w:r>
      <w:r w:rsidR="001C707C" w:rsidRPr="00B75919">
        <w:rPr>
          <w:rFonts w:ascii="Times New Roman" w:hAnsi="Times New Roman"/>
          <w:sz w:val="24"/>
          <w:szCs w:val="24"/>
        </w:rPr>
        <w:lastRenderedPageBreak/>
        <w:t>course of contract performance</w:t>
      </w:r>
      <w:r w:rsidR="001C707C">
        <w:rPr>
          <w:rFonts w:ascii="Times New Roman" w:hAnsi="Times New Roman"/>
          <w:sz w:val="24"/>
          <w:szCs w:val="24"/>
        </w:rPr>
        <w:t xml:space="preserve"> to the original text of the agreement</w:t>
      </w:r>
      <w:r w:rsidR="00B72EA7" w:rsidRPr="00B75919">
        <w:rPr>
          <w:rFonts w:ascii="Times New Roman" w:hAnsi="Times New Roman"/>
          <w:sz w:val="24"/>
          <w:szCs w:val="24"/>
        </w:rPr>
        <w:t xml:space="preserve">.  The more effectively </w:t>
      </w:r>
      <w:r w:rsidR="001C707C">
        <w:rPr>
          <w:rFonts w:ascii="Times New Roman" w:hAnsi="Times New Roman"/>
          <w:sz w:val="24"/>
          <w:szCs w:val="24"/>
        </w:rPr>
        <w:t xml:space="preserve">this </w:t>
      </w:r>
      <w:r w:rsidR="00B72EA7" w:rsidRPr="00B75919">
        <w:rPr>
          <w:rFonts w:ascii="Times New Roman" w:hAnsi="Times New Roman"/>
          <w:sz w:val="24"/>
          <w:szCs w:val="24"/>
        </w:rPr>
        <w:t xml:space="preserve">context </w:t>
      </w:r>
      <w:r w:rsidR="001C707C">
        <w:rPr>
          <w:rFonts w:ascii="Times New Roman" w:hAnsi="Times New Roman"/>
          <w:sz w:val="24"/>
          <w:szCs w:val="24"/>
        </w:rPr>
        <w:t xml:space="preserve">evidence </w:t>
      </w:r>
      <w:r w:rsidR="00B72EA7" w:rsidRPr="00B75919">
        <w:rPr>
          <w:rFonts w:ascii="Times New Roman" w:hAnsi="Times New Roman"/>
          <w:sz w:val="24"/>
          <w:szCs w:val="24"/>
        </w:rPr>
        <w:t xml:space="preserve">can be harnessed </w:t>
      </w:r>
      <w:r w:rsidR="001C707C">
        <w:rPr>
          <w:rFonts w:ascii="Times New Roman" w:hAnsi="Times New Roman"/>
          <w:sz w:val="24"/>
          <w:szCs w:val="24"/>
        </w:rPr>
        <w:t xml:space="preserve">so as to </w:t>
      </w:r>
      <w:r w:rsidR="00B75919">
        <w:rPr>
          <w:rFonts w:ascii="Times New Roman" w:hAnsi="Times New Roman"/>
          <w:sz w:val="24"/>
          <w:szCs w:val="24"/>
        </w:rPr>
        <w:t>limit the court’s discretion in applying the relevant standard,</w:t>
      </w:r>
      <w:r w:rsidR="00B72EA7" w:rsidRPr="00B75919">
        <w:rPr>
          <w:rFonts w:ascii="Times New Roman" w:hAnsi="Times New Roman"/>
          <w:sz w:val="24"/>
          <w:szCs w:val="24"/>
        </w:rPr>
        <w:t xml:space="preserve"> the more attractive </w:t>
      </w:r>
      <w:r w:rsidR="00B75919">
        <w:rPr>
          <w:rFonts w:ascii="Times New Roman" w:hAnsi="Times New Roman"/>
          <w:sz w:val="24"/>
          <w:szCs w:val="24"/>
        </w:rPr>
        <w:t xml:space="preserve">is </w:t>
      </w:r>
      <w:r w:rsidR="00B72EA7" w:rsidRPr="00B75919">
        <w:rPr>
          <w:rFonts w:ascii="Times New Roman" w:hAnsi="Times New Roman"/>
          <w:sz w:val="24"/>
          <w:szCs w:val="24"/>
        </w:rPr>
        <w:t xml:space="preserve">the use of standards that take advantage of the court’s </w:t>
      </w:r>
      <w:r w:rsidR="001C707C">
        <w:rPr>
          <w:rFonts w:ascii="Times New Roman" w:hAnsi="Times New Roman"/>
          <w:sz w:val="24"/>
          <w:szCs w:val="24"/>
        </w:rPr>
        <w:t>hindsight advantage.</w:t>
      </w:r>
      <w:r w:rsidR="00502BE0" w:rsidRPr="00B75919">
        <w:rPr>
          <w:rFonts w:ascii="Times New Roman" w:hAnsi="Times New Roman"/>
          <w:sz w:val="24"/>
          <w:szCs w:val="24"/>
        </w:rPr>
        <w:t xml:space="preserve">  </w:t>
      </w:r>
      <w:r w:rsidR="00502BE0">
        <w:rPr>
          <w:rFonts w:ascii="Times New Roman" w:hAnsi="Times New Roman"/>
          <w:sz w:val="24"/>
          <w:szCs w:val="24"/>
        </w:rPr>
        <w:t xml:space="preserve">In this way, </w:t>
      </w:r>
      <w:r w:rsidR="00502BE0" w:rsidRPr="00B75919">
        <w:rPr>
          <w:rFonts w:ascii="Times New Roman" w:hAnsi="Times New Roman"/>
          <w:sz w:val="24"/>
          <w:szCs w:val="24"/>
        </w:rPr>
        <w:t>the parties design a</w:t>
      </w:r>
      <w:r w:rsidR="00502BE0">
        <w:rPr>
          <w:rFonts w:ascii="Times New Roman" w:hAnsi="Times New Roman"/>
          <w:sz w:val="24"/>
          <w:szCs w:val="24"/>
        </w:rPr>
        <w:t xml:space="preserve"> contract</w:t>
      </w:r>
      <w:r w:rsidR="00502BE0" w:rsidRPr="00B75919">
        <w:rPr>
          <w:rFonts w:ascii="Times New Roman" w:hAnsi="Times New Roman"/>
          <w:sz w:val="24"/>
          <w:szCs w:val="24"/>
        </w:rPr>
        <w:t xml:space="preserve"> </w:t>
      </w:r>
      <w:r w:rsidR="00502BE0">
        <w:rPr>
          <w:rFonts w:ascii="Times New Roman" w:hAnsi="Times New Roman"/>
          <w:sz w:val="24"/>
          <w:szCs w:val="24"/>
        </w:rPr>
        <w:t>to answer two key questions:</w:t>
      </w:r>
      <w:r w:rsidR="00502BE0" w:rsidRPr="00B75919">
        <w:rPr>
          <w:rFonts w:ascii="Times New Roman" w:hAnsi="Times New Roman"/>
          <w:sz w:val="24"/>
          <w:szCs w:val="24"/>
        </w:rPr>
        <w:t xml:space="preserve"> </w:t>
      </w:r>
      <w:r w:rsidR="00502BE0" w:rsidRPr="00B75919">
        <w:rPr>
          <w:rFonts w:ascii="Times New Roman" w:hAnsi="Times New Roman"/>
          <w:i/>
          <w:iCs/>
          <w:sz w:val="24"/>
          <w:szCs w:val="24"/>
        </w:rPr>
        <w:t>when</w:t>
      </w:r>
      <w:r w:rsidR="00502BE0" w:rsidRPr="00B75919">
        <w:rPr>
          <w:rFonts w:ascii="Times New Roman" w:hAnsi="Times New Roman"/>
          <w:sz w:val="24"/>
          <w:szCs w:val="24"/>
        </w:rPr>
        <w:t xml:space="preserve"> the court will look to context and </w:t>
      </w:r>
      <w:r w:rsidR="00502BE0" w:rsidRPr="00B75919">
        <w:rPr>
          <w:rFonts w:ascii="Times New Roman" w:hAnsi="Times New Roman"/>
          <w:i/>
          <w:iCs/>
          <w:sz w:val="24"/>
          <w:szCs w:val="24"/>
        </w:rPr>
        <w:t>who</w:t>
      </w:r>
      <w:r w:rsidR="00502BE0" w:rsidRPr="00B75919">
        <w:rPr>
          <w:rFonts w:ascii="Times New Roman" w:hAnsi="Times New Roman"/>
          <w:sz w:val="24"/>
          <w:szCs w:val="24"/>
        </w:rPr>
        <w:t xml:space="preserve"> decides what context matters.</w:t>
      </w:r>
      <w:r w:rsidR="00E44BD1">
        <w:rPr>
          <w:rStyle w:val="FootnoteReference"/>
          <w:rFonts w:ascii="Times New Roman" w:hAnsi="Times New Roman"/>
          <w:sz w:val="24"/>
          <w:szCs w:val="24"/>
        </w:rPr>
        <w:footnoteReference w:id="54"/>
      </w:r>
    </w:p>
    <w:p w14:paraId="2945B0CC" w14:textId="77777777" w:rsidR="00A60E5D" w:rsidRPr="00B75919" w:rsidRDefault="00A60E5D" w:rsidP="004B55AD">
      <w:pPr>
        <w:pStyle w:val="Document"/>
        <w:spacing w:line="360" w:lineRule="auto"/>
        <w:jc w:val="left"/>
        <w:rPr>
          <w:rFonts w:ascii="Times New Roman" w:hAnsi="Times New Roman"/>
          <w:sz w:val="24"/>
          <w:szCs w:val="24"/>
        </w:rPr>
      </w:pPr>
    </w:p>
    <w:p w14:paraId="5730D748" w14:textId="77777777" w:rsidR="00C366FA" w:rsidRDefault="00A60E5D" w:rsidP="004B55AD">
      <w:pPr>
        <w:pStyle w:val="Document"/>
        <w:spacing w:line="360" w:lineRule="auto"/>
        <w:jc w:val="left"/>
        <w:rPr>
          <w:rFonts w:ascii="Times New Roman" w:hAnsi="Times New Roman"/>
          <w:sz w:val="24"/>
          <w:szCs w:val="24"/>
        </w:rPr>
      </w:pPr>
      <w:r w:rsidRPr="00A60E5D">
        <w:rPr>
          <w:rFonts w:ascii="Times New Roman" w:hAnsi="Times New Roman"/>
          <w:sz w:val="24"/>
          <w:szCs w:val="24"/>
        </w:rPr>
        <w:t xml:space="preserve">When and to the extent parties design a regime that deploys </w:t>
      </w:r>
      <w:r w:rsidR="001C707C">
        <w:rPr>
          <w:rFonts w:ascii="Times New Roman" w:hAnsi="Times New Roman"/>
          <w:sz w:val="24"/>
          <w:szCs w:val="24"/>
        </w:rPr>
        <w:t xml:space="preserve">these </w:t>
      </w:r>
      <w:r w:rsidRPr="00A60E5D">
        <w:rPr>
          <w:rFonts w:ascii="Times New Roman" w:hAnsi="Times New Roman"/>
          <w:sz w:val="24"/>
          <w:szCs w:val="24"/>
        </w:rPr>
        <w:t xml:space="preserve">broad standards </w:t>
      </w:r>
      <w:r w:rsidR="001C707C">
        <w:rPr>
          <w:rFonts w:ascii="Times New Roman" w:hAnsi="Times New Roman"/>
          <w:sz w:val="24"/>
          <w:szCs w:val="24"/>
        </w:rPr>
        <w:t xml:space="preserve">thus </w:t>
      </w:r>
      <w:r w:rsidRPr="00A60E5D">
        <w:rPr>
          <w:rFonts w:ascii="Times New Roman" w:hAnsi="Times New Roman"/>
          <w:sz w:val="24"/>
          <w:szCs w:val="24"/>
        </w:rPr>
        <w:t xml:space="preserve">depends on how effectively context can be </w:t>
      </w:r>
      <w:r w:rsidR="00E934E4">
        <w:rPr>
          <w:rFonts w:ascii="Times New Roman" w:hAnsi="Times New Roman"/>
          <w:sz w:val="24"/>
          <w:szCs w:val="24"/>
        </w:rPr>
        <w:t>specified in ways that</w:t>
      </w:r>
      <w:r w:rsidRPr="00A60E5D">
        <w:rPr>
          <w:rFonts w:ascii="Times New Roman" w:hAnsi="Times New Roman"/>
          <w:sz w:val="24"/>
          <w:szCs w:val="24"/>
        </w:rPr>
        <w:t xml:space="preserve"> reduce the risk that a court </w:t>
      </w:r>
      <w:r>
        <w:rPr>
          <w:rFonts w:ascii="Times New Roman" w:hAnsi="Times New Roman"/>
          <w:sz w:val="24"/>
          <w:szCs w:val="24"/>
        </w:rPr>
        <w:t xml:space="preserve">can be persuaded </w:t>
      </w:r>
      <w:r w:rsidR="001C707C">
        <w:rPr>
          <w:rFonts w:ascii="Times New Roman" w:hAnsi="Times New Roman"/>
          <w:sz w:val="24"/>
          <w:szCs w:val="24"/>
        </w:rPr>
        <w:t xml:space="preserve">by a </w:t>
      </w:r>
      <w:proofErr w:type="spellStart"/>
      <w:r w:rsidR="001C707C">
        <w:rPr>
          <w:rFonts w:ascii="Times New Roman" w:hAnsi="Times New Roman"/>
          <w:sz w:val="24"/>
          <w:szCs w:val="24"/>
        </w:rPr>
        <w:t>shader</w:t>
      </w:r>
      <w:proofErr w:type="spellEnd"/>
      <w:r w:rsidR="001C707C">
        <w:rPr>
          <w:rFonts w:ascii="Times New Roman" w:hAnsi="Times New Roman"/>
          <w:sz w:val="24"/>
          <w:szCs w:val="24"/>
        </w:rPr>
        <w:t xml:space="preserve"> </w:t>
      </w:r>
      <w:r>
        <w:rPr>
          <w:rFonts w:ascii="Times New Roman" w:hAnsi="Times New Roman"/>
          <w:sz w:val="24"/>
          <w:szCs w:val="24"/>
        </w:rPr>
        <w:t>to</w:t>
      </w:r>
      <w:r w:rsidRPr="00A60E5D">
        <w:rPr>
          <w:rFonts w:ascii="Times New Roman" w:hAnsi="Times New Roman"/>
          <w:sz w:val="24"/>
          <w:szCs w:val="24"/>
        </w:rPr>
        <w:t xml:space="preserve"> misunderstand or misapply the standard.</w:t>
      </w:r>
      <w:r w:rsidR="00B83A75">
        <w:rPr>
          <w:rStyle w:val="FootnoteReference"/>
          <w:rFonts w:ascii="Times New Roman" w:hAnsi="Times New Roman"/>
          <w:sz w:val="24"/>
          <w:szCs w:val="24"/>
        </w:rPr>
        <w:footnoteReference w:id="55"/>
      </w:r>
      <w:r w:rsidRPr="00A60E5D">
        <w:rPr>
          <w:rFonts w:ascii="Times New Roman" w:hAnsi="Times New Roman"/>
          <w:sz w:val="24"/>
          <w:szCs w:val="24"/>
        </w:rPr>
        <w:t xml:space="preserve"> </w:t>
      </w:r>
      <w:r>
        <w:rPr>
          <w:rFonts w:ascii="Times New Roman" w:hAnsi="Times New Roman"/>
          <w:sz w:val="24"/>
          <w:szCs w:val="24"/>
        </w:rPr>
        <w:t xml:space="preserve"> To reduce this risk, </w:t>
      </w:r>
      <w:r w:rsidR="00E934E4">
        <w:rPr>
          <w:rFonts w:ascii="Times New Roman" w:hAnsi="Times New Roman"/>
          <w:sz w:val="24"/>
          <w:szCs w:val="24"/>
        </w:rPr>
        <w:t>parties can describe in the contract</w:t>
      </w:r>
      <w:r w:rsidRPr="00A60E5D">
        <w:rPr>
          <w:rFonts w:ascii="Times New Roman" w:hAnsi="Times New Roman"/>
          <w:sz w:val="24"/>
          <w:szCs w:val="24"/>
        </w:rPr>
        <w:t xml:space="preserve"> the context that will be relevant—what industry, what kind of products and, when possible, the </w:t>
      </w:r>
      <w:r>
        <w:rPr>
          <w:rFonts w:ascii="Times New Roman" w:hAnsi="Times New Roman"/>
          <w:sz w:val="24"/>
          <w:szCs w:val="24"/>
        </w:rPr>
        <w:t xml:space="preserve">evidence the </w:t>
      </w:r>
      <w:r w:rsidRPr="00A60E5D">
        <w:rPr>
          <w:rFonts w:ascii="Times New Roman" w:hAnsi="Times New Roman"/>
          <w:sz w:val="24"/>
          <w:szCs w:val="24"/>
        </w:rPr>
        <w:t xml:space="preserve">court should use to measure performance under the standard. </w:t>
      </w:r>
      <w:r>
        <w:rPr>
          <w:rFonts w:ascii="Times New Roman" w:hAnsi="Times New Roman"/>
          <w:sz w:val="24"/>
          <w:szCs w:val="24"/>
        </w:rPr>
        <w:t xml:space="preserve"> In this way, </w:t>
      </w:r>
      <w:r w:rsidRPr="00A60E5D">
        <w:rPr>
          <w:rFonts w:ascii="Times New Roman" w:hAnsi="Times New Roman"/>
          <w:sz w:val="24"/>
          <w:szCs w:val="24"/>
        </w:rPr>
        <w:t xml:space="preserve">the contractually specified standard directs the court to make use of context in addition to text, but limits </w:t>
      </w:r>
      <w:r>
        <w:rPr>
          <w:rFonts w:ascii="Times New Roman" w:hAnsi="Times New Roman"/>
          <w:sz w:val="24"/>
          <w:szCs w:val="24"/>
        </w:rPr>
        <w:t xml:space="preserve">the court’s </w:t>
      </w:r>
      <w:r w:rsidRPr="00A60E5D">
        <w:rPr>
          <w:rFonts w:ascii="Times New Roman" w:hAnsi="Times New Roman"/>
          <w:sz w:val="24"/>
          <w:szCs w:val="24"/>
        </w:rPr>
        <w:t xml:space="preserve">inquiry to </w:t>
      </w:r>
      <w:r>
        <w:rPr>
          <w:rFonts w:ascii="Times New Roman" w:hAnsi="Times New Roman"/>
          <w:sz w:val="24"/>
          <w:szCs w:val="24"/>
        </w:rPr>
        <w:t xml:space="preserve">only that context evidence </w:t>
      </w:r>
      <w:r w:rsidRPr="00A60E5D">
        <w:rPr>
          <w:rFonts w:ascii="Times New Roman" w:hAnsi="Times New Roman"/>
          <w:sz w:val="24"/>
          <w:szCs w:val="24"/>
        </w:rPr>
        <w:t xml:space="preserve">that </w:t>
      </w:r>
      <w:r>
        <w:rPr>
          <w:rFonts w:ascii="Times New Roman" w:hAnsi="Times New Roman"/>
          <w:sz w:val="24"/>
          <w:szCs w:val="24"/>
        </w:rPr>
        <w:t xml:space="preserve">is </w:t>
      </w:r>
      <w:r w:rsidRPr="00A60E5D">
        <w:rPr>
          <w:rFonts w:ascii="Times New Roman" w:hAnsi="Times New Roman"/>
          <w:sz w:val="24"/>
          <w:szCs w:val="24"/>
        </w:rPr>
        <w:t>relevant to the particular obligation embedded in the standard.</w:t>
      </w:r>
      <w:r w:rsidR="00B83A75">
        <w:rPr>
          <w:rStyle w:val="FootnoteReference"/>
          <w:rFonts w:ascii="Times New Roman" w:hAnsi="Times New Roman"/>
          <w:sz w:val="24"/>
          <w:szCs w:val="24"/>
        </w:rPr>
        <w:footnoteReference w:id="56"/>
      </w:r>
      <w:r w:rsidRPr="00A60E5D">
        <w:rPr>
          <w:rFonts w:ascii="Times New Roman" w:hAnsi="Times New Roman"/>
          <w:sz w:val="24"/>
          <w:szCs w:val="24"/>
        </w:rPr>
        <w:t xml:space="preserve"> </w:t>
      </w:r>
      <w:r w:rsidR="00E934E4">
        <w:rPr>
          <w:rFonts w:ascii="Times New Roman" w:hAnsi="Times New Roman"/>
          <w:sz w:val="24"/>
          <w:szCs w:val="24"/>
        </w:rPr>
        <w:t xml:space="preserve"> </w:t>
      </w:r>
      <w:r w:rsidR="00333384">
        <w:rPr>
          <w:rFonts w:ascii="Times New Roman" w:hAnsi="Times New Roman"/>
          <w:sz w:val="24"/>
          <w:szCs w:val="24"/>
        </w:rPr>
        <w:t xml:space="preserve">Thus, even where the level of uncertainty calls for the use of </w:t>
      </w:r>
      <w:r w:rsidR="00333384">
        <w:rPr>
          <w:rFonts w:ascii="Times New Roman" w:hAnsi="Times New Roman"/>
          <w:sz w:val="24"/>
          <w:szCs w:val="24"/>
        </w:rPr>
        <w:lastRenderedPageBreak/>
        <w:t xml:space="preserve">standards, it is </w:t>
      </w:r>
      <w:r>
        <w:rPr>
          <w:rFonts w:ascii="Times New Roman" w:hAnsi="Times New Roman"/>
          <w:sz w:val="24"/>
          <w:szCs w:val="24"/>
        </w:rPr>
        <w:t xml:space="preserve">the parties and not the courts </w:t>
      </w:r>
      <w:r w:rsidR="00333384">
        <w:rPr>
          <w:rFonts w:ascii="Times New Roman" w:hAnsi="Times New Roman"/>
          <w:sz w:val="24"/>
          <w:szCs w:val="24"/>
        </w:rPr>
        <w:t xml:space="preserve">that </w:t>
      </w:r>
      <w:r w:rsidRPr="00A60E5D">
        <w:rPr>
          <w:rFonts w:ascii="Times New Roman" w:hAnsi="Times New Roman"/>
          <w:sz w:val="24"/>
          <w:szCs w:val="24"/>
        </w:rPr>
        <w:t xml:space="preserve">choose the balance between text and context that best suits the level and kind of uncertainty the transaction protects. </w:t>
      </w:r>
    </w:p>
    <w:p w14:paraId="31016CC0" w14:textId="2FCFFDE9" w:rsidR="001E7DF3" w:rsidRPr="00A60E5D" w:rsidRDefault="00A60E5D" w:rsidP="004B55AD">
      <w:pPr>
        <w:pStyle w:val="Document"/>
        <w:spacing w:line="360" w:lineRule="auto"/>
        <w:jc w:val="left"/>
        <w:rPr>
          <w:rFonts w:ascii="Times New Roman" w:hAnsi="Times New Roman"/>
          <w:sz w:val="24"/>
          <w:szCs w:val="24"/>
        </w:rPr>
      </w:pPr>
      <w:r w:rsidRPr="00A60E5D">
        <w:rPr>
          <w:rFonts w:ascii="Times New Roman" w:hAnsi="Times New Roman"/>
          <w:sz w:val="24"/>
          <w:szCs w:val="24"/>
        </w:rPr>
        <w:tab/>
      </w:r>
    </w:p>
    <w:p w14:paraId="7737FD69" w14:textId="199A8018" w:rsidR="0090680A" w:rsidRPr="00C366FA" w:rsidRDefault="00C366FA" w:rsidP="004B55AD">
      <w:pPr>
        <w:pStyle w:val="ListParagraph"/>
        <w:numPr>
          <w:ilvl w:val="0"/>
          <w:numId w:val="9"/>
        </w:numPr>
        <w:rPr>
          <w:b/>
          <w:i/>
        </w:rPr>
      </w:pPr>
      <w:r>
        <w:rPr>
          <w:b/>
          <w:i/>
        </w:rPr>
        <w:t xml:space="preserve">Bilateral Contracting with High Uncertainty:  The Case of Collaborative </w:t>
      </w:r>
      <w:r>
        <w:rPr>
          <w:b/>
          <w:i/>
        </w:rPr>
        <w:br/>
        <w:t>Agreements</w:t>
      </w:r>
    </w:p>
    <w:p w14:paraId="31511C86" w14:textId="39B7E6D4" w:rsidR="00B83A75" w:rsidRPr="00A97853" w:rsidRDefault="009D00D8" w:rsidP="004B55AD">
      <w:pPr>
        <w:spacing w:line="360" w:lineRule="auto"/>
        <w:ind w:firstLine="720"/>
        <w:rPr>
          <w:rFonts w:ascii="Times New Roman" w:hAnsi="Times New Roman" w:cs="Times New Roman"/>
        </w:rPr>
      </w:pPr>
      <w:r w:rsidRPr="00A97853">
        <w:rPr>
          <w:rFonts w:ascii="Times New Roman" w:hAnsi="Times New Roman" w:cs="Times New Roman"/>
        </w:rPr>
        <w:t xml:space="preserve">A </w:t>
      </w:r>
      <w:r w:rsidR="00715D72" w:rsidRPr="00A97853">
        <w:rPr>
          <w:rFonts w:ascii="Times New Roman" w:hAnsi="Times New Roman" w:cs="Times New Roman"/>
        </w:rPr>
        <w:t>central</w:t>
      </w:r>
      <w:r w:rsidR="005F448D" w:rsidRPr="00A97853">
        <w:rPr>
          <w:rFonts w:ascii="Times New Roman" w:hAnsi="Times New Roman" w:cs="Times New Roman"/>
        </w:rPr>
        <w:t xml:space="preserve"> </w:t>
      </w:r>
      <w:r w:rsidR="00C63D8B" w:rsidRPr="00A97853">
        <w:rPr>
          <w:rFonts w:ascii="Times New Roman" w:hAnsi="Times New Roman" w:cs="Times New Roman"/>
        </w:rPr>
        <w:t xml:space="preserve">design </w:t>
      </w:r>
      <w:r w:rsidR="00514981" w:rsidRPr="00A97853">
        <w:rPr>
          <w:rFonts w:ascii="Times New Roman" w:hAnsi="Times New Roman" w:cs="Times New Roman"/>
        </w:rPr>
        <w:t>question</w:t>
      </w:r>
      <w:r w:rsidR="00E44BD1">
        <w:rPr>
          <w:rFonts w:ascii="Times New Roman" w:hAnsi="Times New Roman" w:cs="Times New Roman"/>
        </w:rPr>
        <w:t xml:space="preserve"> remains:</w:t>
      </w:r>
      <w:r w:rsidR="000525A1" w:rsidRPr="00A97853">
        <w:rPr>
          <w:rFonts w:ascii="Times New Roman" w:hAnsi="Times New Roman" w:cs="Times New Roman"/>
        </w:rPr>
        <w:t xml:space="preserve">  can</w:t>
      </w:r>
      <w:r w:rsidR="00514981" w:rsidRPr="00A97853">
        <w:rPr>
          <w:rFonts w:ascii="Times New Roman" w:hAnsi="Times New Roman" w:cs="Times New Roman"/>
        </w:rPr>
        <w:t xml:space="preserve"> parties </w:t>
      </w:r>
      <w:r w:rsidR="0090167D" w:rsidRPr="00A97853">
        <w:rPr>
          <w:rFonts w:ascii="Times New Roman" w:hAnsi="Times New Roman" w:cs="Times New Roman"/>
        </w:rPr>
        <w:t xml:space="preserve">still </w:t>
      </w:r>
      <w:r w:rsidR="00514981" w:rsidRPr="00A97853">
        <w:rPr>
          <w:rFonts w:ascii="Times New Roman" w:hAnsi="Times New Roman" w:cs="Times New Roman"/>
        </w:rPr>
        <w:t xml:space="preserve">solve </w:t>
      </w:r>
      <w:r w:rsidR="00311D3E" w:rsidRPr="00A97853">
        <w:rPr>
          <w:rFonts w:ascii="Times New Roman" w:hAnsi="Times New Roman" w:cs="Times New Roman"/>
        </w:rPr>
        <w:t xml:space="preserve">the </w:t>
      </w:r>
      <w:r w:rsidR="009D6113" w:rsidRPr="00A97853">
        <w:rPr>
          <w:rFonts w:ascii="Times New Roman" w:hAnsi="Times New Roman" w:cs="Times New Roman"/>
        </w:rPr>
        <w:t>Goldilocks</w:t>
      </w:r>
      <w:r w:rsidR="00311D3E" w:rsidRPr="00A97853">
        <w:rPr>
          <w:rFonts w:ascii="Times New Roman" w:hAnsi="Times New Roman" w:cs="Times New Roman"/>
        </w:rPr>
        <w:t xml:space="preserve"> </w:t>
      </w:r>
      <w:r w:rsidR="00514981" w:rsidRPr="00A97853">
        <w:rPr>
          <w:rFonts w:ascii="Times New Roman" w:hAnsi="Times New Roman" w:cs="Times New Roman"/>
        </w:rPr>
        <w:t xml:space="preserve">problem when </w:t>
      </w:r>
      <w:r w:rsidR="001C707C" w:rsidRPr="00A97853">
        <w:rPr>
          <w:rFonts w:ascii="Times New Roman" w:hAnsi="Times New Roman" w:cs="Times New Roman"/>
        </w:rPr>
        <w:t xml:space="preserve">even </w:t>
      </w:r>
      <w:r w:rsidR="0090167D" w:rsidRPr="00A97853">
        <w:rPr>
          <w:rFonts w:ascii="Times New Roman" w:hAnsi="Times New Roman" w:cs="Times New Roman"/>
        </w:rPr>
        <w:t>greater</w:t>
      </w:r>
      <w:r w:rsidR="00CA108F" w:rsidRPr="00A97853">
        <w:rPr>
          <w:rFonts w:ascii="Times New Roman" w:hAnsi="Times New Roman" w:cs="Times New Roman"/>
        </w:rPr>
        <w:t xml:space="preserve"> </w:t>
      </w:r>
      <w:r w:rsidR="00514981" w:rsidRPr="00A97853">
        <w:rPr>
          <w:rFonts w:ascii="Times New Roman" w:hAnsi="Times New Roman" w:cs="Times New Roman"/>
        </w:rPr>
        <w:t xml:space="preserve">uncertainties </w:t>
      </w:r>
      <w:r w:rsidR="001C707C" w:rsidRPr="00A97853">
        <w:rPr>
          <w:rFonts w:ascii="Times New Roman" w:hAnsi="Times New Roman" w:cs="Times New Roman"/>
        </w:rPr>
        <w:t>challenge the skills of contract designers?</w:t>
      </w:r>
      <w:r w:rsidR="00514981" w:rsidRPr="00A97853">
        <w:rPr>
          <w:rFonts w:ascii="Times New Roman" w:hAnsi="Times New Roman" w:cs="Times New Roman"/>
        </w:rPr>
        <w:t xml:space="preserve"> </w:t>
      </w:r>
      <w:r w:rsidR="0093411E" w:rsidRPr="00A97853">
        <w:rPr>
          <w:rFonts w:ascii="Times New Roman" w:hAnsi="Times New Roman" w:cs="Times New Roman"/>
        </w:rPr>
        <w:t>As</w:t>
      </w:r>
      <w:r w:rsidR="00E50220" w:rsidRPr="00A97853">
        <w:rPr>
          <w:rFonts w:ascii="Times New Roman" w:hAnsi="Times New Roman" w:cs="Times New Roman"/>
        </w:rPr>
        <w:t xml:space="preserve"> the level of uncertainty rises</w:t>
      </w:r>
      <w:r w:rsidR="00333384" w:rsidRPr="00A97853">
        <w:rPr>
          <w:rFonts w:ascii="Times New Roman" w:hAnsi="Times New Roman" w:cs="Times New Roman"/>
        </w:rPr>
        <w:t xml:space="preserve"> even higher</w:t>
      </w:r>
      <w:r w:rsidR="00A77B96" w:rsidRPr="00A97853">
        <w:rPr>
          <w:rFonts w:ascii="Times New Roman" w:hAnsi="Times New Roman" w:cs="Times New Roman"/>
        </w:rPr>
        <w:t>,</w:t>
      </w:r>
      <w:r w:rsidR="00551120" w:rsidRPr="00A97853">
        <w:rPr>
          <w:rFonts w:ascii="Times New Roman" w:hAnsi="Times New Roman" w:cs="Times New Roman"/>
        </w:rPr>
        <w:t xml:space="preserve"> </w:t>
      </w:r>
      <w:r w:rsidR="00996318" w:rsidRPr="00A97853">
        <w:rPr>
          <w:rFonts w:ascii="Times New Roman" w:hAnsi="Times New Roman" w:cs="Times New Roman"/>
        </w:rPr>
        <w:t xml:space="preserve">commercial parties (and their lawyers) </w:t>
      </w:r>
      <w:r w:rsidR="00291CF1" w:rsidRPr="00A97853">
        <w:rPr>
          <w:rFonts w:ascii="Times New Roman" w:hAnsi="Times New Roman" w:cs="Times New Roman"/>
        </w:rPr>
        <w:t xml:space="preserve">can no longer </w:t>
      </w:r>
      <w:r w:rsidR="00551120" w:rsidRPr="00A97853">
        <w:rPr>
          <w:rFonts w:ascii="Times New Roman" w:hAnsi="Times New Roman" w:cs="Times New Roman"/>
        </w:rPr>
        <w:t xml:space="preserve">rely on the traditional forms of contracting.  </w:t>
      </w:r>
      <w:r w:rsidR="00291CF1" w:rsidRPr="00A97853">
        <w:rPr>
          <w:rFonts w:ascii="Times New Roman" w:hAnsi="Times New Roman" w:cs="Times New Roman"/>
        </w:rPr>
        <w:t xml:space="preserve"> Over the past 15 years, the challenges of the information revolution have led to increasing levels of uncertainty and motivated parties in affected industries (and their lawyers) to innovate by designing entirely new and radical forms of contracting.</w:t>
      </w:r>
      <w:r w:rsidR="00B83A75" w:rsidRPr="00A97853">
        <w:rPr>
          <w:rStyle w:val="FootnoteReference"/>
          <w:rFonts w:ascii="Times New Roman" w:hAnsi="Times New Roman"/>
        </w:rPr>
        <w:footnoteReference w:id="57"/>
      </w:r>
      <w:r w:rsidR="00AA0D35" w:rsidRPr="00A97853">
        <w:rPr>
          <w:rFonts w:ascii="Times New Roman" w:hAnsi="Times New Roman" w:cs="Times New Roman"/>
        </w:rPr>
        <w:t xml:space="preserve"> </w:t>
      </w:r>
      <w:r w:rsidR="00291CF1" w:rsidRPr="00A97853">
        <w:rPr>
          <w:rFonts w:ascii="Times New Roman" w:hAnsi="Times New Roman" w:cs="Times New Roman"/>
        </w:rPr>
        <w:t xml:space="preserve"> Electronics is a good example of an affected industry:  </w:t>
      </w:r>
      <w:r w:rsidR="00AA0D35" w:rsidRPr="00A97853">
        <w:rPr>
          <w:rFonts w:ascii="Times New Roman" w:hAnsi="Times New Roman" w:cs="Times New Roman"/>
        </w:rPr>
        <w:t>electronics firms compete with each other to anticipate and design the next breakthrough in technology--</w:t>
      </w:r>
      <w:r w:rsidR="00E50220" w:rsidRPr="00A97853">
        <w:rPr>
          <w:rFonts w:ascii="Times New Roman" w:hAnsi="Times New Roman" w:cs="Times New Roman"/>
        </w:rPr>
        <w:t>for example, the smart phone platform displaces the PC only to find itself displaced by whatever comes next</w:t>
      </w:r>
      <w:r w:rsidR="00551120" w:rsidRPr="00A97853">
        <w:rPr>
          <w:rFonts w:ascii="Times New Roman" w:hAnsi="Times New Roman" w:cs="Times New Roman"/>
        </w:rPr>
        <w:t>.</w:t>
      </w:r>
      <w:r w:rsidR="00E44BD1">
        <w:rPr>
          <w:rStyle w:val="FootnoteReference"/>
          <w:rFonts w:ascii="Times New Roman" w:hAnsi="Times New Roman"/>
        </w:rPr>
        <w:footnoteReference w:id="58"/>
      </w:r>
      <w:r w:rsidR="00996318" w:rsidRPr="00A97853">
        <w:rPr>
          <w:rFonts w:ascii="Times New Roman" w:hAnsi="Times New Roman" w:cs="Times New Roman"/>
        </w:rPr>
        <w:t xml:space="preserve">  </w:t>
      </w:r>
    </w:p>
    <w:p w14:paraId="53C40028" w14:textId="77777777" w:rsidR="00B83A75" w:rsidRPr="00A97853" w:rsidRDefault="00B83A75" w:rsidP="00B83A75">
      <w:pPr>
        <w:spacing w:line="360" w:lineRule="auto"/>
        <w:ind w:firstLine="720"/>
        <w:rPr>
          <w:rFonts w:ascii="Times New Roman" w:hAnsi="Times New Roman" w:cs="Times New Roman"/>
        </w:rPr>
      </w:pPr>
    </w:p>
    <w:p w14:paraId="5269DE81" w14:textId="23D2E9F5" w:rsidR="00B83A75" w:rsidRDefault="00996318" w:rsidP="00B83A75">
      <w:pPr>
        <w:spacing w:line="360" w:lineRule="auto"/>
        <w:ind w:firstLine="720"/>
        <w:rPr>
          <w:rFonts w:ascii="Times New Roman" w:hAnsi="Times New Roman" w:cs="Times New Roman"/>
        </w:rPr>
      </w:pPr>
      <w:r w:rsidRPr="00A97853">
        <w:rPr>
          <w:rFonts w:ascii="Times New Roman" w:hAnsi="Times New Roman" w:cs="Times New Roman"/>
        </w:rPr>
        <w:t>T</w:t>
      </w:r>
      <w:r w:rsidR="0093411E" w:rsidRPr="00A97853">
        <w:rPr>
          <w:rFonts w:ascii="Times New Roman" w:hAnsi="Times New Roman" w:cs="Times New Roman"/>
        </w:rPr>
        <w:t>his</w:t>
      </w:r>
      <w:r w:rsidR="00551120" w:rsidRPr="00A97853">
        <w:rPr>
          <w:rFonts w:ascii="Times New Roman" w:hAnsi="Times New Roman" w:cs="Times New Roman"/>
        </w:rPr>
        <w:t xml:space="preserve"> high uncertainty</w:t>
      </w:r>
      <w:r w:rsidR="0093411E" w:rsidRPr="00A97853">
        <w:rPr>
          <w:rFonts w:ascii="Times New Roman" w:hAnsi="Times New Roman" w:cs="Times New Roman"/>
        </w:rPr>
        <w:t xml:space="preserve"> environment, </w:t>
      </w:r>
      <w:r w:rsidR="00291CF1" w:rsidRPr="00A97853">
        <w:rPr>
          <w:rFonts w:ascii="Times New Roman" w:hAnsi="Times New Roman" w:cs="Times New Roman"/>
        </w:rPr>
        <w:t xml:space="preserve">where an entirely new technology </w:t>
      </w:r>
      <w:r w:rsidRPr="00A97853">
        <w:rPr>
          <w:rFonts w:ascii="Times New Roman" w:hAnsi="Times New Roman" w:cs="Times New Roman"/>
        </w:rPr>
        <w:t xml:space="preserve">can </w:t>
      </w:r>
      <w:r w:rsidR="00291CF1" w:rsidRPr="00A97853">
        <w:rPr>
          <w:rFonts w:ascii="Times New Roman" w:hAnsi="Times New Roman" w:cs="Times New Roman"/>
        </w:rPr>
        <w:t xml:space="preserve">disrupt the status quo, </w:t>
      </w:r>
      <w:r w:rsidRPr="00A97853">
        <w:rPr>
          <w:rFonts w:ascii="Times New Roman" w:hAnsi="Times New Roman" w:cs="Times New Roman"/>
        </w:rPr>
        <w:t xml:space="preserve">has triggered </w:t>
      </w:r>
      <w:r w:rsidR="00E50220" w:rsidRPr="00A97853">
        <w:rPr>
          <w:rFonts w:ascii="Times New Roman" w:hAnsi="Times New Roman" w:cs="Times New Roman"/>
        </w:rPr>
        <w:t xml:space="preserve">a revolution in the basic form of </w:t>
      </w:r>
      <w:r w:rsidR="00715D72" w:rsidRPr="00A97853">
        <w:rPr>
          <w:rFonts w:ascii="Times New Roman" w:hAnsi="Times New Roman" w:cs="Times New Roman"/>
        </w:rPr>
        <w:t xml:space="preserve">the </w:t>
      </w:r>
      <w:r w:rsidR="00A77B96" w:rsidRPr="00A97853">
        <w:rPr>
          <w:rFonts w:ascii="Times New Roman" w:hAnsi="Times New Roman" w:cs="Times New Roman"/>
        </w:rPr>
        <w:t>contract.</w:t>
      </w:r>
      <w:r w:rsidR="00E50220" w:rsidRPr="00A97853">
        <w:rPr>
          <w:rFonts w:ascii="Times New Roman" w:hAnsi="Times New Roman" w:cs="Times New Roman"/>
        </w:rPr>
        <w:t xml:space="preserve"> </w:t>
      </w:r>
      <w:r w:rsidR="00B83A75" w:rsidRPr="00A97853">
        <w:rPr>
          <w:rFonts w:ascii="Times New Roman" w:hAnsi="Times New Roman" w:cs="Times New Roman"/>
        </w:rPr>
        <w:t xml:space="preserve"> L</w:t>
      </w:r>
      <w:r w:rsidR="00E50220" w:rsidRPr="00A97853">
        <w:rPr>
          <w:rFonts w:ascii="Times New Roman" w:hAnsi="Times New Roman" w:cs="Times New Roman"/>
        </w:rPr>
        <w:t>awyer</w:t>
      </w:r>
      <w:r w:rsidR="00715D72" w:rsidRPr="00A97853">
        <w:rPr>
          <w:rFonts w:ascii="Times New Roman" w:hAnsi="Times New Roman" w:cs="Times New Roman"/>
        </w:rPr>
        <w:t>s</w:t>
      </w:r>
      <w:r w:rsidR="00E50220" w:rsidRPr="00A97853">
        <w:rPr>
          <w:rFonts w:ascii="Times New Roman" w:hAnsi="Times New Roman" w:cs="Times New Roman"/>
        </w:rPr>
        <w:t xml:space="preserve"> for these parties have innovated</w:t>
      </w:r>
      <w:r w:rsidR="0093411E" w:rsidRPr="00A97853">
        <w:rPr>
          <w:rFonts w:ascii="Times New Roman" w:hAnsi="Times New Roman" w:cs="Times New Roman"/>
        </w:rPr>
        <w:t xml:space="preserve"> by designing </w:t>
      </w:r>
      <w:r w:rsidR="00904270" w:rsidRPr="00A97853">
        <w:rPr>
          <w:rFonts w:ascii="Times New Roman" w:hAnsi="Times New Roman" w:cs="Times New Roman"/>
        </w:rPr>
        <w:t>novel</w:t>
      </w:r>
      <w:r w:rsidR="00A77B96" w:rsidRPr="00A97853">
        <w:rPr>
          <w:rFonts w:ascii="Times New Roman" w:hAnsi="Times New Roman" w:cs="Times New Roman"/>
        </w:rPr>
        <w:t xml:space="preserve"> collaborative </w:t>
      </w:r>
      <w:r w:rsidR="001771AC" w:rsidRPr="00A97853">
        <w:rPr>
          <w:rFonts w:ascii="Times New Roman" w:hAnsi="Times New Roman" w:cs="Times New Roman"/>
        </w:rPr>
        <w:t>agreements</w:t>
      </w:r>
      <w:r w:rsidR="006524DC" w:rsidRPr="00A97853">
        <w:rPr>
          <w:rFonts w:ascii="Times New Roman" w:hAnsi="Times New Roman" w:cs="Times New Roman"/>
        </w:rPr>
        <w:t xml:space="preserve"> </w:t>
      </w:r>
      <w:r w:rsidR="0093411E" w:rsidRPr="00A97853">
        <w:rPr>
          <w:rFonts w:ascii="Times New Roman" w:hAnsi="Times New Roman" w:cs="Times New Roman"/>
        </w:rPr>
        <w:t xml:space="preserve">that </w:t>
      </w:r>
      <w:r w:rsidR="000525A1" w:rsidRPr="00A97853">
        <w:rPr>
          <w:rFonts w:ascii="Times New Roman" w:hAnsi="Times New Roman" w:cs="Times New Roman"/>
        </w:rPr>
        <w:t xml:space="preserve">only </w:t>
      </w:r>
      <w:r w:rsidR="0093411E" w:rsidRPr="00A97853">
        <w:rPr>
          <w:rFonts w:ascii="Times New Roman" w:hAnsi="Times New Roman" w:cs="Times New Roman"/>
        </w:rPr>
        <w:lastRenderedPageBreak/>
        <w:t xml:space="preserve">obligate the parties to explore possibilities </w:t>
      </w:r>
      <w:r w:rsidR="000525A1" w:rsidRPr="00A97853">
        <w:rPr>
          <w:rFonts w:ascii="Times New Roman" w:hAnsi="Times New Roman" w:cs="Times New Roman"/>
        </w:rPr>
        <w:t xml:space="preserve">together </w:t>
      </w:r>
      <w:r w:rsidR="0093411E" w:rsidRPr="00A97853">
        <w:rPr>
          <w:rFonts w:ascii="Times New Roman" w:hAnsi="Times New Roman" w:cs="Times New Roman"/>
        </w:rPr>
        <w:t>without committing them to execute any specific project.</w:t>
      </w:r>
      <w:r w:rsidR="00B83A75" w:rsidRPr="00A97853">
        <w:rPr>
          <w:rFonts w:ascii="Times New Roman" w:hAnsi="Times New Roman" w:cs="Times New Roman"/>
        </w:rPr>
        <w:t xml:space="preserve">   Even though there is a formal and very detailed contract of many terms and pages, the contract regulates only the commitment to collaborate, and not the course or the outcome of the collaboration which is left entirely unspecified.  That means any effort to enforce this agreement in court is limited to protecting each party’s promised investment in the collaborative process rather than directing a division of any surplus that might result if the collaboration were to succeed.</w:t>
      </w:r>
      <w:r w:rsidR="00076D54">
        <w:rPr>
          <w:rStyle w:val="FootnoteReference"/>
          <w:rFonts w:ascii="Times New Roman" w:hAnsi="Times New Roman"/>
        </w:rPr>
        <w:footnoteReference w:id="59"/>
      </w:r>
      <w:r w:rsidR="00B83A75" w:rsidRPr="00A97853">
        <w:rPr>
          <w:rFonts w:ascii="Times New Roman" w:hAnsi="Times New Roman" w:cs="Times New Roman"/>
        </w:rPr>
        <w:t xml:space="preserve">   Rather than relying primarily on the threat of legal enforcement, this collaboration rests on a governance structure that, over time, creates confidence in the capabilities and trust in the character of the counterparty. Trust and confidence are extremely valuable commodities: Not only do they motivate each party to invest in the relationship but they also make the prospect of abandoning the relationship in order to collaborate with others much less attractive.</w:t>
      </w:r>
      <w:r w:rsidR="00B83A75" w:rsidRPr="00A97853">
        <w:rPr>
          <w:rStyle w:val="FootnoteReference"/>
          <w:rFonts w:ascii="Times New Roman" w:hAnsi="Times New Roman"/>
        </w:rPr>
        <w:footnoteReference w:id="60"/>
      </w:r>
    </w:p>
    <w:p w14:paraId="1EDB41C5" w14:textId="77777777" w:rsidR="00867C65" w:rsidRPr="00A97853" w:rsidRDefault="00867C65" w:rsidP="00B83A75">
      <w:pPr>
        <w:spacing w:line="360" w:lineRule="auto"/>
        <w:ind w:firstLine="720"/>
        <w:rPr>
          <w:rFonts w:ascii="Times New Roman" w:hAnsi="Times New Roman" w:cs="Times New Roman"/>
        </w:rPr>
      </w:pPr>
    </w:p>
    <w:p w14:paraId="7EC8EB12" w14:textId="5D2870BE" w:rsidR="00514981" w:rsidRDefault="00867C65" w:rsidP="00867C65">
      <w:pPr>
        <w:spacing w:line="360" w:lineRule="auto"/>
        <w:ind w:firstLine="720"/>
        <w:rPr>
          <w:rFonts w:ascii="Times New Roman" w:hAnsi="Times New Roman" w:cs="Times New Roman"/>
        </w:rPr>
      </w:pPr>
      <w:r w:rsidRPr="00867C65">
        <w:rPr>
          <w:rFonts w:ascii="Times New Roman" w:hAnsi="Times New Roman" w:cs="Times New Roman"/>
        </w:rPr>
        <w:t xml:space="preserve">The governance of these commercial collaborations shares several common elements. The first element is a commitment to an ongoing mutual exchange of private information designed to determine if a project is feasible, and if so, how best to implement the parties’ joint objectives. The second component is a procedure for resolving disputes. Its key feature is a requirement that the collaborators reach unanimous agreement on crucial decisions, with persistent disagreement resolved by unanimous agreement at higher levels of management from each firm.  Together these two mechanisms make each party’s character traits and substantive capabilities observable and forestall misunderstandings. Working under conditions of uncertainty, the parties can expect to encounter unanticipated problems that can only be solved jointly and that may generate occasions of disagreement. Their increasing knowledge of each other’s </w:t>
      </w:r>
      <w:r w:rsidRPr="00867C65">
        <w:rPr>
          <w:rFonts w:ascii="Times New Roman" w:hAnsi="Times New Roman" w:cs="Times New Roman"/>
        </w:rPr>
        <w:lastRenderedPageBreak/>
        <w:t>capacities and willingness to share private information in service of their collective goals facilitates the resolution of problems and constrains opportunistic behavior.</w:t>
      </w:r>
      <w:r>
        <w:rPr>
          <w:rStyle w:val="FootnoteReference"/>
          <w:rFonts w:ascii="Times New Roman" w:hAnsi="Times New Roman"/>
        </w:rPr>
        <w:footnoteReference w:id="61"/>
      </w:r>
    </w:p>
    <w:p w14:paraId="78A8F4F6" w14:textId="77777777" w:rsidR="00867C65" w:rsidRPr="00867C65" w:rsidRDefault="00867C65" w:rsidP="00867C65">
      <w:pPr>
        <w:spacing w:line="360" w:lineRule="auto"/>
        <w:ind w:firstLine="720"/>
        <w:rPr>
          <w:rFonts w:ascii="Times New Roman" w:hAnsi="Times New Roman" w:cs="Times New Roman"/>
          <w:bCs/>
          <w:iCs/>
        </w:rPr>
      </w:pPr>
    </w:p>
    <w:p w14:paraId="25915611" w14:textId="45438924" w:rsidR="0093411E" w:rsidRDefault="00867C65" w:rsidP="0027049B">
      <w:pPr>
        <w:spacing w:line="360" w:lineRule="auto"/>
        <w:ind w:firstLine="720"/>
        <w:rPr>
          <w:rFonts w:ascii="Times New Roman" w:hAnsi="Times New Roman" w:cs="Times New Roman"/>
        </w:rPr>
      </w:pPr>
      <w:r>
        <w:rPr>
          <w:rFonts w:ascii="Times New Roman" w:hAnsi="Times New Roman" w:cs="Times New Roman"/>
        </w:rPr>
        <w:t>The</w:t>
      </w:r>
      <w:r w:rsidR="00514981" w:rsidRPr="00A97853">
        <w:rPr>
          <w:rFonts w:ascii="Times New Roman" w:hAnsi="Times New Roman" w:cs="Times New Roman"/>
        </w:rPr>
        <w:t xml:space="preserve"> limited </w:t>
      </w:r>
      <w:r w:rsidR="001771AC" w:rsidRPr="00A97853">
        <w:rPr>
          <w:rFonts w:ascii="Times New Roman" w:hAnsi="Times New Roman" w:cs="Times New Roman"/>
        </w:rPr>
        <w:t xml:space="preserve">legal </w:t>
      </w:r>
      <w:r w:rsidR="00514981" w:rsidRPr="00A97853">
        <w:rPr>
          <w:rFonts w:ascii="Times New Roman" w:hAnsi="Times New Roman" w:cs="Times New Roman"/>
        </w:rPr>
        <w:t xml:space="preserve">commitment </w:t>
      </w:r>
      <w:r>
        <w:rPr>
          <w:rFonts w:ascii="Times New Roman" w:hAnsi="Times New Roman" w:cs="Times New Roman"/>
        </w:rPr>
        <w:t xml:space="preserve">contemplated by collaborative contracting </w:t>
      </w:r>
      <w:r w:rsidR="000623BB" w:rsidRPr="00A97853">
        <w:rPr>
          <w:rFonts w:ascii="Times New Roman" w:hAnsi="Times New Roman" w:cs="Times New Roman"/>
        </w:rPr>
        <w:t>means that there is a</w:t>
      </w:r>
      <w:r w:rsidR="00514981" w:rsidRPr="00A97853">
        <w:rPr>
          <w:rFonts w:ascii="Times New Roman" w:hAnsi="Times New Roman" w:cs="Times New Roman"/>
        </w:rPr>
        <w:t xml:space="preserve"> significant constraint on the potential </w:t>
      </w:r>
      <w:r w:rsidR="00743D2F" w:rsidRPr="00A97853">
        <w:rPr>
          <w:rFonts w:ascii="Times New Roman" w:hAnsi="Times New Roman" w:cs="Times New Roman"/>
        </w:rPr>
        <w:t xml:space="preserve">role of a court </w:t>
      </w:r>
      <w:r w:rsidR="009D6113" w:rsidRPr="00A97853">
        <w:rPr>
          <w:rFonts w:ascii="Times New Roman" w:hAnsi="Times New Roman" w:cs="Times New Roman"/>
        </w:rPr>
        <w:t>charged with</w:t>
      </w:r>
      <w:r w:rsidR="00743D2F" w:rsidRPr="00A97853">
        <w:rPr>
          <w:rFonts w:ascii="Times New Roman" w:hAnsi="Times New Roman" w:cs="Times New Roman"/>
        </w:rPr>
        <w:t xml:space="preserve"> </w:t>
      </w:r>
      <w:r w:rsidR="001771AC" w:rsidRPr="00A97853">
        <w:rPr>
          <w:rFonts w:ascii="Times New Roman" w:hAnsi="Times New Roman" w:cs="Times New Roman"/>
        </w:rPr>
        <w:t xml:space="preserve">policing </w:t>
      </w:r>
      <w:r w:rsidR="000D0BAA" w:rsidRPr="00A97853">
        <w:rPr>
          <w:rFonts w:ascii="Times New Roman" w:hAnsi="Times New Roman" w:cs="Times New Roman"/>
        </w:rPr>
        <w:t>shading.</w:t>
      </w:r>
      <w:r w:rsidR="001771AC" w:rsidRPr="00A97853">
        <w:rPr>
          <w:rFonts w:ascii="Times New Roman" w:hAnsi="Times New Roman" w:cs="Times New Roman"/>
        </w:rPr>
        <w:t xml:space="preserve"> </w:t>
      </w:r>
      <w:r w:rsidR="0037082E" w:rsidRPr="00A97853">
        <w:rPr>
          <w:rFonts w:ascii="Times New Roman" w:hAnsi="Times New Roman" w:cs="Times New Roman"/>
        </w:rPr>
        <w:t xml:space="preserve"> </w:t>
      </w:r>
      <w:r w:rsidR="000623BB" w:rsidRPr="00A97853">
        <w:rPr>
          <w:rFonts w:ascii="Times New Roman" w:hAnsi="Times New Roman" w:cs="Times New Roman"/>
        </w:rPr>
        <w:t xml:space="preserve">Any resulting agreement to produce a specified product or to purchase a key input to production (the usual stuff of contracts) are not part of the formal contract at all.  Rather the </w:t>
      </w:r>
      <w:r w:rsidR="00514981" w:rsidRPr="00A97853">
        <w:rPr>
          <w:rFonts w:ascii="Times New Roman" w:hAnsi="Times New Roman" w:cs="Times New Roman"/>
        </w:rPr>
        <w:t>substantiv</w:t>
      </w:r>
      <w:r w:rsidR="000623BB" w:rsidRPr="00A97853">
        <w:rPr>
          <w:rFonts w:ascii="Times New Roman" w:hAnsi="Times New Roman" w:cs="Times New Roman"/>
        </w:rPr>
        <w:t xml:space="preserve">e outputs of the collaboration develop </w:t>
      </w:r>
      <w:r w:rsidR="00514981" w:rsidRPr="00A97853">
        <w:rPr>
          <w:rFonts w:ascii="Times New Roman" w:hAnsi="Times New Roman" w:cs="Times New Roman"/>
        </w:rPr>
        <w:t xml:space="preserve">only from the informal </w:t>
      </w:r>
      <w:r w:rsidR="006524DC" w:rsidRPr="00A97853">
        <w:rPr>
          <w:rFonts w:ascii="Times New Roman" w:hAnsi="Times New Roman" w:cs="Times New Roman"/>
        </w:rPr>
        <w:t xml:space="preserve">relationship of mutual trust </w:t>
      </w:r>
      <w:r w:rsidR="00514981" w:rsidRPr="00A97853">
        <w:rPr>
          <w:rFonts w:ascii="Times New Roman" w:hAnsi="Times New Roman" w:cs="Times New Roman"/>
        </w:rPr>
        <w:t xml:space="preserve">that is </w:t>
      </w:r>
      <w:r w:rsidR="001771AC" w:rsidRPr="00A97853">
        <w:rPr>
          <w:rFonts w:ascii="Times New Roman" w:hAnsi="Times New Roman" w:cs="Times New Roman"/>
        </w:rPr>
        <w:t xml:space="preserve">the result of </w:t>
      </w:r>
      <w:r w:rsidR="00514981" w:rsidRPr="00A97853">
        <w:rPr>
          <w:rFonts w:ascii="Times New Roman" w:hAnsi="Times New Roman" w:cs="Times New Roman"/>
        </w:rPr>
        <w:t>the collaboration process itself.</w:t>
      </w:r>
      <w:r w:rsidR="00B83A75" w:rsidRPr="00A97853">
        <w:rPr>
          <w:rFonts w:ascii="Times New Roman" w:hAnsi="Times New Roman" w:cs="Times New Roman"/>
        </w:rPr>
        <w:t xml:space="preserve"> </w:t>
      </w:r>
      <w:r>
        <w:rPr>
          <w:rFonts w:ascii="Times New Roman" w:hAnsi="Times New Roman" w:cs="Times New Roman"/>
        </w:rPr>
        <w:t xml:space="preserve"> </w:t>
      </w:r>
      <w:r w:rsidR="00B83A75" w:rsidRPr="00A97853">
        <w:rPr>
          <w:rFonts w:ascii="Times New Roman" w:hAnsi="Times New Roman" w:cs="Times New Roman"/>
        </w:rPr>
        <w:t xml:space="preserve">In effect, collaborative contracting </w:t>
      </w:r>
      <w:proofErr w:type="spellStart"/>
      <w:r w:rsidR="00B83A75" w:rsidRPr="00A97853">
        <w:rPr>
          <w:rFonts w:ascii="Times New Roman" w:hAnsi="Times New Roman" w:cs="Times New Roman"/>
        </w:rPr>
        <w:t>endogenizes</w:t>
      </w:r>
      <w:proofErr w:type="spellEnd"/>
      <w:r w:rsidR="00B83A75" w:rsidRPr="00A97853">
        <w:rPr>
          <w:rFonts w:ascii="Times New Roman" w:hAnsi="Times New Roman" w:cs="Times New Roman"/>
        </w:rPr>
        <w:t xml:space="preserve"> trust by formalizing a process that builds parties’ confidence in one another and thereafter supports investments in their joint objectives based on the trust created. </w:t>
      </w:r>
      <w:r w:rsidR="00514981" w:rsidRPr="00A97853">
        <w:rPr>
          <w:rFonts w:ascii="Times New Roman" w:hAnsi="Times New Roman" w:cs="Times New Roman"/>
        </w:rPr>
        <w:t>It follows that a reviewing court’s primary focus</w:t>
      </w:r>
      <w:r w:rsidR="000623BB" w:rsidRPr="00A97853">
        <w:rPr>
          <w:rFonts w:ascii="Times New Roman" w:hAnsi="Times New Roman" w:cs="Times New Roman"/>
        </w:rPr>
        <w:t xml:space="preserve"> will be</w:t>
      </w:r>
      <w:r w:rsidR="00743D2F" w:rsidRPr="00A97853">
        <w:rPr>
          <w:rFonts w:ascii="Times New Roman" w:hAnsi="Times New Roman" w:cs="Times New Roman"/>
        </w:rPr>
        <w:t xml:space="preserve"> limited to questions of</w:t>
      </w:r>
      <w:r w:rsidR="00514981" w:rsidRPr="00A97853">
        <w:rPr>
          <w:rFonts w:ascii="Times New Roman" w:hAnsi="Times New Roman" w:cs="Times New Roman"/>
        </w:rPr>
        <w:t xml:space="preserve"> character rather than capability: Has o</w:t>
      </w:r>
      <w:r w:rsidR="00833464" w:rsidRPr="00A97853">
        <w:rPr>
          <w:rFonts w:ascii="Times New Roman" w:hAnsi="Times New Roman" w:cs="Times New Roman"/>
        </w:rPr>
        <w:t xml:space="preserve">ne party cheated, </w:t>
      </w:r>
      <w:r w:rsidR="00A77B96" w:rsidRPr="00A97853">
        <w:rPr>
          <w:rFonts w:ascii="Times New Roman" w:hAnsi="Times New Roman" w:cs="Times New Roman"/>
        </w:rPr>
        <w:t>say by using information gained during the collaborati</w:t>
      </w:r>
      <w:r w:rsidR="00833464" w:rsidRPr="00A97853">
        <w:rPr>
          <w:rFonts w:ascii="Times New Roman" w:hAnsi="Times New Roman" w:cs="Times New Roman"/>
        </w:rPr>
        <w:t>o</w:t>
      </w:r>
      <w:r w:rsidR="00A77B96" w:rsidRPr="00A97853">
        <w:rPr>
          <w:rFonts w:ascii="Times New Roman" w:hAnsi="Times New Roman" w:cs="Times New Roman"/>
        </w:rPr>
        <w:t>n for its own private purposes</w:t>
      </w:r>
      <w:r w:rsidR="00B83A75" w:rsidRPr="00A97853">
        <w:rPr>
          <w:rFonts w:ascii="Times New Roman" w:hAnsi="Times New Roman" w:cs="Times New Roman"/>
        </w:rPr>
        <w:t xml:space="preserve">? Giving generalist courts the single responsibility of rooting out “red-faced” cheating reduces and </w:t>
      </w:r>
      <w:r w:rsidR="00B83A75" w:rsidRPr="00A97853">
        <w:rPr>
          <w:rFonts w:ascii="Times New Roman" w:hAnsi="Times New Roman" w:cs="Times New Roman"/>
        </w:rPr>
        <w:lastRenderedPageBreak/>
        <w:t>instinct the court may have to roam farther into the commercial context in an attempt to find the parties “</w:t>
      </w:r>
      <w:r w:rsidR="00421767" w:rsidRPr="00A97853">
        <w:rPr>
          <w:rFonts w:ascii="Times New Roman" w:hAnsi="Times New Roman" w:cs="Times New Roman"/>
        </w:rPr>
        <w:t>true” intentions</w:t>
      </w:r>
      <w:r w:rsidR="00B83A75" w:rsidRPr="00A97853">
        <w:rPr>
          <w:rFonts w:ascii="Times New Roman" w:hAnsi="Times New Roman" w:cs="Times New Roman"/>
        </w:rPr>
        <w:t>.</w:t>
      </w:r>
      <w:r w:rsidR="00B83A75" w:rsidRPr="00A97853">
        <w:rPr>
          <w:rStyle w:val="FootnoteReference"/>
          <w:rFonts w:ascii="Times New Roman" w:hAnsi="Times New Roman"/>
        </w:rPr>
        <w:footnoteReference w:id="62"/>
      </w:r>
    </w:p>
    <w:p w14:paraId="0B41EAEA" w14:textId="77777777" w:rsidR="009A4A03" w:rsidRDefault="009A4A03" w:rsidP="0027049B">
      <w:pPr>
        <w:spacing w:line="360" w:lineRule="auto"/>
        <w:ind w:firstLine="720"/>
        <w:rPr>
          <w:rFonts w:ascii="Times New Roman" w:hAnsi="Times New Roman" w:cs="Times New Roman"/>
        </w:rPr>
      </w:pPr>
    </w:p>
    <w:p w14:paraId="32881680" w14:textId="0BA3C7FD" w:rsidR="00C366FA" w:rsidRPr="00C366FA" w:rsidRDefault="00C366FA" w:rsidP="00C366FA">
      <w:pPr>
        <w:pStyle w:val="ListParagraph"/>
        <w:numPr>
          <w:ilvl w:val="0"/>
          <w:numId w:val="9"/>
        </w:numPr>
        <w:tabs>
          <w:tab w:val="left" w:pos="0"/>
          <w:tab w:val="center" w:pos="4680"/>
          <w:tab w:val="left" w:pos="5040"/>
          <w:tab w:val="left" w:pos="5760"/>
          <w:tab w:val="left" w:pos="6480"/>
          <w:tab w:val="left" w:pos="7200"/>
          <w:tab w:val="left" w:pos="7920"/>
          <w:tab w:val="left" w:pos="8636"/>
          <w:tab w:val="right" w:pos="9360"/>
        </w:tabs>
        <w:spacing w:after="180"/>
        <w:rPr>
          <w:b/>
          <w:i/>
        </w:rPr>
      </w:pPr>
      <w:r>
        <w:rPr>
          <w:b/>
          <w:i/>
        </w:rPr>
        <w:t xml:space="preserve"> Thick Markets and Low Uncertainty:  The Case of Trade Associations</w:t>
      </w:r>
    </w:p>
    <w:p w14:paraId="4C8E0E3B" w14:textId="77777777" w:rsidR="009D4BC8" w:rsidRDefault="000D0BAA" w:rsidP="00743D2F">
      <w:pPr>
        <w:tabs>
          <w:tab w:val="left" w:pos="0"/>
          <w:tab w:val="center" w:pos="4680"/>
          <w:tab w:val="left" w:pos="5040"/>
          <w:tab w:val="left" w:pos="5760"/>
          <w:tab w:val="left" w:pos="6480"/>
          <w:tab w:val="left" w:pos="7200"/>
          <w:tab w:val="left" w:pos="7920"/>
          <w:tab w:val="left" w:pos="8636"/>
          <w:tab w:val="right" w:pos="9360"/>
        </w:tabs>
        <w:spacing w:after="180" w:line="360" w:lineRule="auto"/>
        <w:ind w:firstLine="720"/>
        <w:rPr>
          <w:rFonts w:ascii="Times New Roman" w:hAnsi="Times New Roman" w:cs="Times New Roman"/>
        </w:rPr>
      </w:pPr>
      <w:r w:rsidRPr="00A97853">
        <w:rPr>
          <w:rFonts w:ascii="Times New Roman" w:hAnsi="Times New Roman" w:cs="Times New Roman"/>
        </w:rPr>
        <w:t xml:space="preserve">  </w:t>
      </w:r>
      <w:r w:rsidR="005D6E6F" w:rsidRPr="00A97853">
        <w:rPr>
          <w:rFonts w:ascii="Times New Roman" w:hAnsi="Times New Roman" w:cs="Times New Roman"/>
        </w:rPr>
        <w:t xml:space="preserve">Let’s turn now and see how </w:t>
      </w:r>
      <w:proofErr w:type="gramStart"/>
      <w:r w:rsidR="005D6E6F" w:rsidRPr="00A97853">
        <w:rPr>
          <w:rFonts w:ascii="Times New Roman" w:hAnsi="Times New Roman" w:cs="Times New Roman"/>
        </w:rPr>
        <w:t xml:space="preserve">scale—the </w:t>
      </w:r>
      <w:r w:rsidR="00FE75F8" w:rsidRPr="00A97853">
        <w:rPr>
          <w:rFonts w:ascii="Times New Roman" w:hAnsi="Times New Roman" w:cs="Times New Roman"/>
        </w:rPr>
        <w:t>thic</w:t>
      </w:r>
      <w:r w:rsidR="005D6E6F" w:rsidRPr="00A97853">
        <w:rPr>
          <w:rFonts w:ascii="Times New Roman" w:hAnsi="Times New Roman" w:cs="Times New Roman"/>
        </w:rPr>
        <w:t>kness of the market—</w:t>
      </w:r>
      <w:proofErr w:type="gramEnd"/>
      <w:r w:rsidR="005D6E6F" w:rsidRPr="00A97853">
        <w:rPr>
          <w:rFonts w:ascii="Times New Roman" w:hAnsi="Times New Roman" w:cs="Times New Roman"/>
        </w:rPr>
        <w:t xml:space="preserve">changes the landscape of contract design.  </w:t>
      </w:r>
      <w:r w:rsidR="009D4BC8" w:rsidRPr="00A97853">
        <w:rPr>
          <w:rFonts w:ascii="Times New Roman" w:hAnsi="Times New Roman" w:cs="Times New Roman"/>
        </w:rPr>
        <w:t>All else equal, the greater the number of traders engaged in the same kind of a transaction, the more likely that the contracting infrastructure—terms adapted to current need in the form of standard contracts and industry codes—will be provide</w:t>
      </w:r>
      <w:r w:rsidR="009D4BC8" w:rsidRPr="00A3485D">
        <w:rPr>
          <w:rFonts w:ascii="Times New Roman" w:hAnsi="Times New Roman" w:cs="Times New Roman"/>
        </w:rPr>
        <w:t>d jointly as a</w:t>
      </w:r>
      <w:r w:rsidR="009D4BC8">
        <w:rPr>
          <w:rFonts w:ascii="Times New Roman" w:hAnsi="Times New Roman" w:cs="Times New Roman"/>
        </w:rPr>
        <w:t>n</w:t>
      </w:r>
      <w:r w:rsidR="009D4BC8" w:rsidRPr="00A3485D">
        <w:rPr>
          <w:rFonts w:ascii="Times New Roman" w:hAnsi="Times New Roman" w:cs="Times New Roman"/>
        </w:rPr>
        <w:t xml:space="preserve"> industry specific public good by a trade association</w:t>
      </w:r>
      <w:r w:rsidR="009D4BC8">
        <w:rPr>
          <w:rFonts w:ascii="Times New Roman" w:hAnsi="Times New Roman" w:cs="Times New Roman"/>
        </w:rPr>
        <w:t>.</w:t>
      </w:r>
      <w:r w:rsidR="009D4BC8" w:rsidRPr="00A3485D">
        <w:rPr>
          <w:rFonts w:ascii="Times New Roman" w:hAnsi="Times New Roman" w:cs="Times New Roman"/>
        </w:rPr>
        <w:t xml:space="preserve"> </w:t>
      </w:r>
      <w:r w:rsidR="009D4BC8">
        <w:rPr>
          <w:rFonts w:ascii="Times New Roman" w:hAnsi="Times New Roman" w:cs="Times New Roman"/>
        </w:rPr>
        <w:t xml:space="preserve"> I have just discussed how shocks in the economic environment produce innovations in contractual form in bilateral relationships. Similarly, exogenous factors can stimulate the creation of innovative contractual forms in multilateral contexts.  In such a case, the contract designs are institutionalized outside the participating firms and arise when markets are thick – many contracting parties are affected by the same exogenous event or, even in the absence of such an event, many parties are acting in the same commercial environment.</w:t>
      </w:r>
    </w:p>
    <w:p w14:paraId="29FC41EA" w14:textId="00C4BF1C" w:rsidR="00597E06" w:rsidRDefault="009D4BC8" w:rsidP="00743D2F">
      <w:pPr>
        <w:tabs>
          <w:tab w:val="left" w:pos="0"/>
          <w:tab w:val="center" w:pos="4680"/>
          <w:tab w:val="left" w:pos="5040"/>
          <w:tab w:val="left" w:pos="5760"/>
          <w:tab w:val="left" w:pos="6480"/>
          <w:tab w:val="left" w:pos="7200"/>
          <w:tab w:val="left" w:pos="7920"/>
          <w:tab w:val="left" w:pos="8636"/>
          <w:tab w:val="right" w:pos="9360"/>
        </w:tabs>
        <w:spacing w:after="180" w:line="360" w:lineRule="auto"/>
        <w:ind w:firstLine="720"/>
        <w:rPr>
          <w:rFonts w:ascii="Times New Roman" w:hAnsi="Times New Roman" w:cs="Times New Roman"/>
        </w:rPr>
      </w:pPr>
      <w:r>
        <w:rPr>
          <w:rFonts w:ascii="Times New Roman" w:hAnsi="Times New Roman" w:cs="Times New Roman"/>
        </w:rPr>
        <w:lastRenderedPageBreak/>
        <w:t xml:space="preserve">  </w:t>
      </w:r>
      <w:r w:rsidR="00597E06">
        <w:rPr>
          <w:rFonts w:ascii="Times New Roman" w:hAnsi="Times New Roman" w:cs="Times New Roman"/>
        </w:rPr>
        <w:t xml:space="preserve">Consider </w:t>
      </w:r>
      <w:r w:rsidR="00FE75F8">
        <w:rPr>
          <w:rFonts w:ascii="Times New Roman" w:hAnsi="Times New Roman" w:cs="Times New Roman"/>
        </w:rPr>
        <w:t>for example</w:t>
      </w:r>
      <w:r w:rsidR="00597E06">
        <w:rPr>
          <w:rFonts w:ascii="Times New Roman" w:hAnsi="Times New Roman" w:cs="Times New Roman"/>
        </w:rPr>
        <w:t xml:space="preserve"> the </w:t>
      </w:r>
      <w:r w:rsidR="00E50220">
        <w:rPr>
          <w:rFonts w:ascii="Times New Roman" w:hAnsi="Times New Roman" w:cs="Times New Roman"/>
        </w:rPr>
        <w:t>market for key commodities—grain,</w:t>
      </w:r>
      <w:r w:rsidR="00546B5E">
        <w:rPr>
          <w:rFonts w:ascii="Times New Roman" w:hAnsi="Times New Roman" w:cs="Times New Roman"/>
        </w:rPr>
        <w:t xml:space="preserve"> cotton, </w:t>
      </w:r>
      <w:r w:rsidR="00FE75F8">
        <w:rPr>
          <w:rFonts w:ascii="Times New Roman" w:hAnsi="Times New Roman" w:cs="Times New Roman"/>
        </w:rPr>
        <w:t>and the like.</w:t>
      </w:r>
      <w:r w:rsidR="00546B5E">
        <w:rPr>
          <w:rFonts w:ascii="Times New Roman" w:hAnsi="Times New Roman" w:cs="Times New Roman"/>
        </w:rPr>
        <w:t xml:space="preserve">  Here we </w:t>
      </w:r>
      <w:r w:rsidR="00FE75F8">
        <w:rPr>
          <w:rFonts w:ascii="Times New Roman" w:hAnsi="Times New Roman" w:cs="Times New Roman"/>
        </w:rPr>
        <w:t xml:space="preserve">encounter a thick market where many parties engage in the same or similar forms of contracting.  </w:t>
      </w:r>
      <w:r w:rsidR="00551120">
        <w:rPr>
          <w:rFonts w:ascii="Times New Roman" w:hAnsi="Times New Roman" w:cs="Times New Roman"/>
        </w:rPr>
        <w:t>W</w:t>
      </w:r>
      <w:r w:rsidR="0093411E" w:rsidRPr="0017404D">
        <w:rPr>
          <w:rFonts w:ascii="Times New Roman" w:hAnsi="Times New Roman" w:cs="Times New Roman"/>
        </w:rPr>
        <w:t>hen markets are thick</w:t>
      </w:r>
      <w:r w:rsidR="00551120">
        <w:rPr>
          <w:rFonts w:ascii="Times New Roman" w:hAnsi="Times New Roman" w:cs="Times New Roman"/>
        </w:rPr>
        <w:t>, the costs of design can be spread</w:t>
      </w:r>
      <w:r w:rsidR="0093411E" w:rsidRPr="0017404D">
        <w:rPr>
          <w:rFonts w:ascii="Times New Roman" w:hAnsi="Times New Roman" w:cs="Times New Roman"/>
        </w:rPr>
        <w:t xml:space="preserve"> in the sense that many actors face similar </w:t>
      </w:r>
      <w:r w:rsidR="000D0BAA">
        <w:rPr>
          <w:rFonts w:ascii="Times New Roman" w:hAnsi="Times New Roman" w:cs="Times New Roman"/>
        </w:rPr>
        <w:t xml:space="preserve">risks </w:t>
      </w:r>
      <w:r w:rsidR="0093411E" w:rsidRPr="0017404D">
        <w:rPr>
          <w:rFonts w:ascii="Times New Roman" w:hAnsi="Times New Roman" w:cs="Times New Roman"/>
        </w:rPr>
        <w:t>and stand to benefit from co</w:t>
      </w:r>
      <w:r w:rsidR="000D0BAA">
        <w:rPr>
          <w:rFonts w:ascii="Times New Roman" w:hAnsi="Times New Roman" w:cs="Times New Roman"/>
        </w:rPr>
        <w:t xml:space="preserve">ncerted responses to them.  In this environment, </w:t>
      </w:r>
      <w:r w:rsidR="0093411E" w:rsidRPr="0017404D">
        <w:rPr>
          <w:rFonts w:ascii="Times New Roman" w:hAnsi="Times New Roman" w:cs="Times New Roman"/>
        </w:rPr>
        <w:t xml:space="preserve">the affected parties </w:t>
      </w:r>
      <w:r w:rsidR="00597E06" w:rsidRPr="0017404D">
        <w:rPr>
          <w:rFonts w:ascii="Times New Roman" w:hAnsi="Times New Roman" w:cs="Times New Roman"/>
        </w:rPr>
        <w:t xml:space="preserve">often </w:t>
      </w:r>
      <w:r w:rsidR="0093411E" w:rsidRPr="0017404D">
        <w:rPr>
          <w:rFonts w:ascii="Times New Roman" w:hAnsi="Times New Roman" w:cs="Times New Roman"/>
        </w:rPr>
        <w:t xml:space="preserve">institutionalize their contract </w:t>
      </w:r>
      <w:r w:rsidR="0093411E">
        <w:rPr>
          <w:rFonts w:ascii="Times New Roman" w:hAnsi="Times New Roman" w:cs="Times New Roman"/>
        </w:rPr>
        <w:t>design</w:t>
      </w:r>
      <w:r w:rsidR="0093411E" w:rsidRPr="0017404D">
        <w:rPr>
          <w:rFonts w:ascii="Times New Roman" w:hAnsi="Times New Roman" w:cs="Times New Roman"/>
        </w:rPr>
        <w:t xml:space="preserve"> through </w:t>
      </w:r>
      <w:r w:rsidR="00551120">
        <w:rPr>
          <w:rFonts w:ascii="Times New Roman" w:hAnsi="Times New Roman" w:cs="Times New Roman"/>
        </w:rPr>
        <w:t xml:space="preserve">the </w:t>
      </w:r>
      <w:r w:rsidR="0093411E" w:rsidRPr="0017404D">
        <w:rPr>
          <w:rFonts w:ascii="Times New Roman" w:hAnsi="Times New Roman" w:cs="Times New Roman"/>
        </w:rPr>
        <w:t>collective action</w:t>
      </w:r>
      <w:r w:rsidR="00551120">
        <w:rPr>
          <w:rFonts w:ascii="Times New Roman" w:hAnsi="Times New Roman" w:cs="Times New Roman"/>
        </w:rPr>
        <w:t xml:space="preserve"> of industry associations</w:t>
      </w:r>
      <w:r w:rsidR="0093411E" w:rsidRPr="0017404D">
        <w:rPr>
          <w:rFonts w:ascii="Times New Roman" w:hAnsi="Times New Roman" w:cs="Times New Roman"/>
        </w:rPr>
        <w:t>.</w:t>
      </w:r>
      <w:r w:rsidR="000D0BAA">
        <w:rPr>
          <w:rFonts w:ascii="Times New Roman" w:hAnsi="Times New Roman" w:cs="Times New Roman"/>
        </w:rPr>
        <w:t xml:space="preserve"> </w:t>
      </w:r>
      <w:r w:rsidR="0037082E">
        <w:rPr>
          <w:rFonts w:ascii="Times New Roman" w:hAnsi="Times New Roman" w:cs="Times New Roman"/>
        </w:rPr>
        <w:t xml:space="preserve"> </w:t>
      </w:r>
      <w:r w:rsidR="0093411E">
        <w:rPr>
          <w:rFonts w:ascii="Times New Roman" w:hAnsi="Times New Roman" w:cs="Times New Roman"/>
        </w:rPr>
        <w:t>Once again, t</w:t>
      </w:r>
      <w:r w:rsidR="0093411E" w:rsidRPr="0017404D">
        <w:rPr>
          <w:rFonts w:ascii="Times New Roman" w:hAnsi="Times New Roman" w:cs="Times New Roman"/>
        </w:rPr>
        <w:t xml:space="preserve">he </w:t>
      </w:r>
      <w:r w:rsidR="0093411E">
        <w:rPr>
          <w:rFonts w:ascii="Times New Roman" w:hAnsi="Times New Roman" w:cs="Times New Roman"/>
        </w:rPr>
        <w:t xml:space="preserve">design challenge </w:t>
      </w:r>
      <w:r w:rsidR="0093411E" w:rsidRPr="0017404D">
        <w:rPr>
          <w:rFonts w:ascii="Times New Roman" w:hAnsi="Times New Roman" w:cs="Times New Roman"/>
        </w:rPr>
        <w:t>will vary according to the level of uncertainty faced by the actors</w:t>
      </w:r>
      <w:r w:rsidR="00C63D8B">
        <w:rPr>
          <w:rFonts w:ascii="Times New Roman" w:hAnsi="Times New Roman" w:cs="Times New Roman"/>
        </w:rPr>
        <w:t>,</w:t>
      </w:r>
      <w:r w:rsidR="0093411E">
        <w:rPr>
          <w:rFonts w:ascii="Times New Roman" w:hAnsi="Times New Roman" w:cs="Times New Roman"/>
        </w:rPr>
        <w:t xml:space="preserve"> but scaling the </w:t>
      </w:r>
      <w:r w:rsidR="0037082E">
        <w:rPr>
          <w:rFonts w:ascii="Times New Roman" w:hAnsi="Times New Roman" w:cs="Times New Roman"/>
        </w:rPr>
        <w:t xml:space="preserve">contractual </w:t>
      </w:r>
      <w:r w:rsidR="0093411E">
        <w:rPr>
          <w:rFonts w:ascii="Times New Roman" w:hAnsi="Times New Roman" w:cs="Times New Roman"/>
        </w:rPr>
        <w:t xml:space="preserve">product permits novel solutions to the </w:t>
      </w:r>
      <w:r w:rsidR="009D6113">
        <w:rPr>
          <w:rFonts w:ascii="Times New Roman" w:hAnsi="Times New Roman" w:cs="Times New Roman"/>
        </w:rPr>
        <w:t>Goldilocks</w:t>
      </w:r>
      <w:r w:rsidR="0093411E">
        <w:rPr>
          <w:rFonts w:ascii="Times New Roman" w:hAnsi="Times New Roman" w:cs="Times New Roman"/>
        </w:rPr>
        <w:t xml:space="preserve"> problem.  </w:t>
      </w:r>
    </w:p>
    <w:p w14:paraId="15B21686" w14:textId="473E42EF" w:rsidR="004461A7" w:rsidRDefault="0093411E" w:rsidP="004461A7">
      <w:pPr>
        <w:tabs>
          <w:tab w:val="left" w:pos="0"/>
          <w:tab w:val="center" w:pos="4680"/>
          <w:tab w:val="left" w:pos="5040"/>
          <w:tab w:val="left" w:pos="5760"/>
          <w:tab w:val="left" w:pos="6480"/>
          <w:tab w:val="left" w:pos="7200"/>
          <w:tab w:val="left" w:pos="7920"/>
          <w:tab w:val="left" w:pos="8636"/>
          <w:tab w:val="right" w:pos="9360"/>
        </w:tabs>
        <w:spacing w:after="180" w:line="360" w:lineRule="auto"/>
        <w:ind w:firstLine="720"/>
        <w:rPr>
          <w:rFonts w:ascii="Times New Roman" w:hAnsi="Times New Roman" w:cs="Times New Roman"/>
        </w:rPr>
      </w:pPr>
      <w:r>
        <w:rPr>
          <w:rFonts w:ascii="Times New Roman" w:hAnsi="Times New Roman" w:cs="Times New Roman"/>
        </w:rPr>
        <w:t xml:space="preserve"> </w:t>
      </w:r>
      <w:r w:rsidR="00743D2F">
        <w:rPr>
          <w:rFonts w:ascii="Times New Roman" w:hAnsi="Times New Roman" w:cs="Times New Roman"/>
        </w:rPr>
        <w:t>Not</w:t>
      </w:r>
      <w:r w:rsidR="00597E06">
        <w:rPr>
          <w:rFonts w:ascii="Times New Roman" w:hAnsi="Times New Roman" w:cs="Times New Roman"/>
        </w:rPr>
        <w:t>ice</w:t>
      </w:r>
      <w:r w:rsidR="00743D2F">
        <w:rPr>
          <w:rFonts w:ascii="Times New Roman" w:hAnsi="Times New Roman" w:cs="Times New Roman"/>
        </w:rPr>
        <w:t xml:space="preserve"> how scale chang</w:t>
      </w:r>
      <w:r w:rsidR="00C63D8B">
        <w:rPr>
          <w:rFonts w:ascii="Times New Roman" w:hAnsi="Times New Roman" w:cs="Times New Roman"/>
        </w:rPr>
        <w:t>es the parties design responses</w:t>
      </w:r>
      <w:r w:rsidR="00F043E8">
        <w:rPr>
          <w:rFonts w:ascii="Times New Roman" w:hAnsi="Times New Roman" w:cs="Times New Roman"/>
        </w:rPr>
        <w:t xml:space="preserve"> </w:t>
      </w:r>
      <w:r w:rsidR="00833464">
        <w:rPr>
          <w:rFonts w:ascii="Times New Roman" w:hAnsi="Times New Roman" w:cs="Times New Roman"/>
        </w:rPr>
        <w:t xml:space="preserve">even </w:t>
      </w:r>
      <w:r w:rsidR="00F043E8">
        <w:rPr>
          <w:rFonts w:ascii="Times New Roman" w:hAnsi="Times New Roman" w:cs="Times New Roman"/>
        </w:rPr>
        <w:t>in low uncertainty settings</w:t>
      </w:r>
      <w:r w:rsidR="00C63D8B">
        <w:rPr>
          <w:rFonts w:ascii="Times New Roman" w:hAnsi="Times New Roman" w:cs="Times New Roman"/>
        </w:rPr>
        <w:t>.</w:t>
      </w:r>
      <w:r w:rsidR="00743D2F">
        <w:rPr>
          <w:rFonts w:ascii="Times New Roman" w:hAnsi="Times New Roman" w:cs="Times New Roman"/>
        </w:rPr>
        <w:t xml:space="preserve">  </w:t>
      </w:r>
      <w:r w:rsidR="004461A7">
        <w:rPr>
          <w:rFonts w:ascii="Times New Roman" w:hAnsi="Times New Roman" w:cs="Times New Roman"/>
        </w:rPr>
        <w:t>Let’s a</w:t>
      </w:r>
      <w:r w:rsidR="00F043E8">
        <w:rPr>
          <w:rFonts w:ascii="Times New Roman" w:hAnsi="Times New Roman" w:cs="Times New Roman"/>
        </w:rPr>
        <w:t>ssume</w:t>
      </w:r>
      <w:r w:rsidR="00743D2F" w:rsidRPr="0017404D">
        <w:rPr>
          <w:rFonts w:ascii="Times New Roman" w:hAnsi="Times New Roman" w:cs="Times New Roman"/>
        </w:rPr>
        <w:t xml:space="preserve"> </w:t>
      </w:r>
      <w:r w:rsidR="009627C9">
        <w:rPr>
          <w:rFonts w:ascii="Times New Roman" w:hAnsi="Times New Roman" w:cs="Times New Roman"/>
        </w:rPr>
        <w:t xml:space="preserve">that </w:t>
      </w:r>
      <w:r w:rsidR="00743D2F" w:rsidRPr="0017404D">
        <w:rPr>
          <w:rFonts w:ascii="Times New Roman" w:hAnsi="Times New Roman" w:cs="Times New Roman"/>
        </w:rPr>
        <w:t xml:space="preserve">commercial practices </w:t>
      </w:r>
      <w:r w:rsidR="00CD4883">
        <w:rPr>
          <w:rFonts w:ascii="Times New Roman" w:hAnsi="Times New Roman" w:cs="Times New Roman"/>
        </w:rPr>
        <w:t>in a</w:t>
      </w:r>
      <w:r w:rsidR="004461A7">
        <w:rPr>
          <w:rFonts w:ascii="Times New Roman" w:hAnsi="Times New Roman" w:cs="Times New Roman"/>
        </w:rPr>
        <w:t xml:space="preserve"> particular industry </w:t>
      </w:r>
      <w:r w:rsidR="00743D2F" w:rsidRPr="0017404D">
        <w:rPr>
          <w:rFonts w:ascii="Times New Roman" w:hAnsi="Times New Roman" w:cs="Times New Roman"/>
        </w:rPr>
        <w:t xml:space="preserve">are stable and well understood by a substantial community of traders. </w:t>
      </w:r>
      <w:r w:rsidR="0037082E">
        <w:rPr>
          <w:rFonts w:ascii="Times New Roman" w:hAnsi="Times New Roman" w:cs="Times New Roman"/>
        </w:rPr>
        <w:t xml:space="preserve"> </w:t>
      </w:r>
      <w:r w:rsidR="009627C9">
        <w:rPr>
          <w:rFonts w:ascii="Times New Roman" w:hAnsi="Times New Roman" w:cs="Times New Roman"/>
        </w:rPr>
        <w:t xml:space="preserve">Nevertheless, </w:t>
      </w:r>
      <w:r w:rsidR="00597E06">
        <w:rPr>
          <w:rFonts w:ascii="Times New Roman" w:hAnsi="Times New Roman" w:cs="Times New Roman"/>
        </w:rPr>
        <w:t>a</w:t>
      </w:r>
      <w:r w:rsidR="004461A7">
        <w:rPr>
          <w:rFonts w:ascii="Times New Roman" w:hAnsi="Times New Roman" w:cs="Times New Roman"/>
        </w:rPr>
        <w:t xml:space="preserve"> generalist judge can’</w:t>
      </w:r>
      <w:r w:rsidR="00743D2F" w:rsidRPr="0017404D">
        <w:rPr>
          <w:rFonts w:ascii="Times New Roman" w:hAnsi="Times New Roman" w:cs="Times New Roman"/>
        </w:rPr>
        <w:t xml:space="preserve">t be expected to have knowledge of such </w:t>
      </w:r>
      <w:r w:rsidR="00FE75F8">
        <w:rPr>
          <w:rFonts w:ascii="Times New Roman" w:hAnsi="Times New Roman" w:cs="Times New Roman"/>
        </w:rPr>
        <w:t xml:space="preserve">embedded </w:t>
      </w:r>
      <w:r w:rsidR="00743D2F" w:rsidRPr="0017404D">
        <w:rPr>
          <w:rFonts w:ascii="Times New Roman" w:hAnsi="Times New Roman" w:cs="Times New Roman"/>
        </w:rPr>
        <w:t>trade practices or be</w:t>
      </w:r>
      <w:r w:rsidR="00F043E8">
        <w:rPr>
          <w:rFonts w:ascii="Times New Roman" w:hAnsi="Times New Roman" w:cs="Times New Roman"/>
        </w:rPr>
        <w:t xml:space="preserve"> able to </w:t>
      </w:r>
      <w:r w:rsidR="00FE75F8">
        <w:rPr>
          <w:rFonts w:ascii="Times New Roman" w:hAnsi="Times New Roman" w:cs="Times New Roman"/>
        </w:rPr>
        <w:t xml:space="preserve">conveniently </w:t>
      </w:r>
      <w:r w:rsidR="00F043E8">
        <w:rPr>
          <w:rFonts w:ascii="Times New Roman" w:hAnsi="Times New Roman" w:cs="Times New Roman"/>
        </w:rPr>
        <w:t xml:space="preserve">obtain </w:t>
      </w:r>
      <w:r w:rsidR="00FE75F8">
        <w:rPr>
          <w:rFonts w:ascii="Times New Roman" w:hAnsi="Times New Roman" w:cs="Times New Roman"/>
        </w:rPr>
        <w:t xml:space="preserve">the information needed to make an accurate determination of which party is the </w:t>
      </w:r>
      <w:proofErr w:type="spellStart"/>
      <w:r w:rsidR="00FE75F8">
        <w:rPr>
          <w:rFonts w:ascii="Times New Roman" w:hAnsi="Times New Roman" w:cs="Times New Roman"/>
        </w:rPr>
        <w:t>shader</w:t>
      </w:r>
      <w:proofErr w:type="spellEnd"/>
      <w:r w:rsidR="00FE75F8">
        <w:rPr>
          <w:rFonts w:ascii="Times New Roman" w:hAnsi="Times New Roman" w:cs="Times New Roman"/>
        </w:rPr>
        <w:t>.</w:t>
      </w:r>
      <w:r w:rsidR="009D4BC8">
        <w:rPr>
          <w:rStyle w:val="FootnoteReference"/>
          <w:rFonts w:ascii="Times New Roman" w:hAnsi="Times New Roman"/>
        </w:rPr>
        <w:footnoteReference w:id="63"/>
      </w:r>
      <w:r w:rsidR="00743D2F" w:rsidRPr="0017404D">
        <w:rPr>
          <w:rFonts w:ascii="Times New Roman" w:hAnsi="Times New Roman" w:cs="Times New Roman"/>
        </w:rPr>
        <w:t xml:space="preserve"> </w:t>
      </w:r>
      <w:r w:rsidR="00833464">
        <w:rPr>
          <w:rFonts w:ascii="Times New Roman" w:hAnsi="Times New Roman" w:cs="Times New Roman"/>
        </w:rPr>
        <w:t xml:space="preserve">  </w:t>
      </w:r>
      <w:r w:rsidR="00FE75F8">
        <w:rPr>
          <w:rFonts w:ascii="Times New Roman" w:hAnsi="Times New Roman" w:cs="Times New Roman"/>
        </w:rPr>
        <w:t>So the trade association has to cope</w:t>
      </w:r>
      <w:r w:rsidR="00743D2F" w:rsidRPr="0017404D">
        <w:rPr>
          <w:rFonts w:ascii="Times New Roman" w:hAnsi="Times New Roman" w:cs="Times New Roman"/>
        </w:rPr>
        <w:t xml:space="preserve"> with the adverse cons</w:t>
      </w:r>
      <w:r w:rsidR="001E4A48">
        <w:rPr>
          <w:rFonts w:ascii="Times New Roman" w:hAnsi="Times New Roman" w:cs="Times New Roman"/>
        </w:rPr>
        <w:t xml:space="preserve">equences of judicial ignorance </w:t>
      </w:r>
      <w:r w:rsidR="00CD4883">
        <w:rPr>
          <w:rFonts w:ascii="Times New Roman" w:hAnsi="Times New Roman" w:cs="Times New Roman"/>
        </w:rPr>
        <w:t>while, at the same time, creating</w:t>
      </w:r>
      <w:r w:rsidR="00833464">
        <w:rPr>
          <w:rFonts w:ascii="Times New Roman" w:hAnsi="Times New Roman" w:cs="Times New Roman"/>
        </w:rPr>
        <w:t xml:space="preserve"> a framework to</w:t>
      </w:r>
      <w:r w:rsidR="009D6113">
        <w:rPr>
          <w:rFonts w:ascii="Times New Roman" w:hAnsi="Times New Roman" w:cs="Times New Roman"/>
        </w:rPr>
        <w:t xml:space="preserve"> </w:t>
      </w:r>
      <w:r w:rsidR="00833464">
        <w:rPr>
          <w:rFonts w:ascii="Times New Roman" w:hAnsi="Times New Roman" w:cs="Times New Roman"/>
        </w:rPr>
        <w:t>reduce</w:t>
      </w:r>
      <w:r w:rsidR="00597E06">
        <w:rPr>
          <w:rFonts w:ascii="Times New Roman" w:hAnsi="Times New Roman" w:cs="Times New Roman"/>
        </w:rPr>
        <w:t xml:space="preserve"> </w:t>
      </w:r>
      <w:r w:rsidR="001E4A48">
        <w:rPr>
          <w:rFonts w:ascii="Times New Roman" w:hAnsi="Times New Roman" w:cs="Times New Roman"/>
        </w:rPr>
        <w:t>the risk of shading</w:t>
      </w:r>
      <w:r w:rsidR="00FE75F8">
        <w:rPr>
          <w:rFonts w:ascii="Times New Roman" w:hAnsi="Times New Roman" w:cs="Times New Roman"/>
        </w:rPr>
        <w:t xml:space="preserve">.  This challenge </w:t>
      </w:r>
      <w:r w:rsidR="001E4A48">
        <w:rPr>
          <w:rFonts w:ascii="Times New Roman" w:hAnsi="Times New Roman" w:cs="Times New Roman"/>
        </w:rPr>
        <w:t>motivates</w:t>
      </w:r>
      <w:r w:rsidR="00743D2F" w:rsidRPr="0017404D">
        <w:rPr>
          <w:rFonts w:ascii="Times New Roman" w:hAnsi="Times New Roman" w:cs="Times New Roman"/>
        </w:rPr>
        <w:t xml:space="preserve"> the trade association</w:t>
      </w:r>
      <w:r w:rsidR="003D2E51">
        <w:rPr>
          <w:rFonts w:ascii="Times New Roman" w:hAnsi="Times New Roman" w:cs="Times New Roman"/>
        </w:rPr>
        <w:t xml:space="preserve"> to engage in innovative design</w:t>
      </w:r>
      <w:r w:rsidR="001E4A48">
        <w:rPr>
          <w:rFonts w:ascii="Times New Roman" w:hAnsi="Times New Roman" w:cs="Times New Roman"/>
        </w:rPr>
        <w:t>.</w:t>
      </w:r>
      <w:r w:rsidR="00743D2F" w:rsidRPr="0017404D">
        <w:rPr>
          <w:rFonts w:ascii="Times New Roman" w:hAnsi="Times New Roman" w:cs="Times New Roman"/>
        </w:rPr>
        <w:t xml:space="preserve"> </w:t>
      </w:r>
      <w:r w:rsidR="003D2E51">
        <w:rPr>
          <w:rFonts w:ascii="Times New Roman" w:hAnsi="Times New Roman" w:cs="Times New Roman"/>
        </w:rPr>
        <w:t xml:space="preserve"> What is the result?  </w:t>
      </w:r>
      <w:r w:rsidR="00CD4883">
        <w:rPr>
          <w:rFonts w:ascii="Times New Roman" w:hAnsi="Times New Roman" w:cs="Times New Roman"/>
        </w:rPr>
        <w:t xml:space="preserve"> Many of t</w:t>
      </w:r>
      <w:r w:rsidR="003D2E51">
        <w:rPr>
          <w:rFonts w:ascii="Times New Roman" w:hAnsi="Times New Roman" w:cs="Times New Roman"/>
        </w:rPr>
        <w:t xml:space="preserve">hese trade groups </w:t>
      </w:r>
      <w:r w:rsidR="00833464">
        <w:rPr>
          <w:rFonts w:ascii="Times New Roman" w:hAnsi="Times New Roman" w:cs="Times New Roman"/>
        </w:rPr>
        <w:t xml:space="preserve">have chosen to </w:t>
      </w:r>
      <w:r w:rsidR="003D2E51">
        <w:rPr>
          <w:rFonts w:ascii="Times New Roman" w:hAnsi="Times New Roman" w:cs="Times New Roman"/>
        </w:rPr>
        <w:t>rely on expert arbitrators to strictly enforce industry approved, standardized contract terms.  They regularly update the terms to keep them current with practice as it evolves.</w:t>
      </w:r>
      <w:r w:rsidR="00CD4883">
        <w:rPr>
          <w:rFonts w:ascii="Times New Roman" w:hAnsi="Times New Roman" w:cs="Times New Roman"/>
        </w:rPr>
        <w:t xml:space="preserve"> </w:t>
      </w:r>
      <w:r w:rsidR="003D2E51">
        <w:rPr>
          <w:rFonts w:ascii="Times New Roman" w:hAnsi="Times New Roman" w:cs="Times New Roman"/>
        </w:rPr>
        <w:t xml:space="preserve"> </w:t>
      </w:r>
      <w:r w:rsidR="001E4A48">
        <w:rPr>
          <w:rFonts w:ascii="Times New Roman" w:hAnsi="Times New Roman" w:cs="Times New Roman"/>
        </w:rPr>
        <w:t>In this way, the</w:t>
      </w:r>
      <w:r w:rsidR="003D2E51">
        <w:rPr>
          <w:rFonts w:ascii="Times New Roman" w:hAnsi="Times New Roman" w:cs="Times New Roman"/>
        </w:rPr>
        <w:t xml:space="preserve"> trade group</w:t>
      </w:r>
      <w:r w:rsidR="001E4A48">
        <w:rPr>
          <w:rFonts w:ascii="Times New Roman" w:hAnsi="Times New Roman" w:cs="Times New Roman"/>
        </w:rPr>
        <w:t xml:space="preserve"> enlist</w:t>
      </w:r>
      <w:r w:rsidR="009D6113">
        <w:rPr>
          <w:rFonts w:ascii="Times New Roman" w:hAnsi="Times New Roman" w:cs="Times New Roman"/>
        </w:rPr>
        <w:t>s</w:t>
      </w:r>
      <w:r w:rsidR="001E4A48">
        <w:rPr>
          <w:rFonts w:ascii="Times New Roman" w:hAnsi="Times New Roman" w:cs="Times New Roman"/>
        </w:rPr>
        <w:t xml:space="preserve"> a third party </w:t>
      </w:r>
      <w:r w:rsidR="009D6113">
        <w:rPr>
          <w:rFonts w:ascii="Times New Roman" w:hAnsi="Times New Roman" w:cs="Times New Roman"/>
        </w:rPr>
        <w:t xml:space="preserve">with a limited charge:  just </w:t>
      </w:r>
      <w:r w:rsidR="001E4A48">
        <w:rPr>
          <w:rFonts w:ascii="Times New Roman" w:hAnsi="Times New Roman" w:cs="Times New Roman"/>
        </w:rPr>
        <w:t xml:space="preserve">monitor </w:t>
      </w:r>
      <w:r w:rsidR="009627C9">
        <w:rPr>
          <w:rFonts w:ascii="Times New Roman" w:hAnsi="Times New Roman" w:cs="Times New Roman"/>
        </w:rPr>
        <w:t xml:space="preserve">the </w:t>
      </w:r>
      <w:r w:rsidR="001E4A48">
        <w:rPr>
          <w:rFonts w:ascii="Times New Roman" w:hAnsi="Times New Roman" w:cs="Times New Roman"/>
        </w:rPr>
        <w:t>shading risk</w:t>
      </w:r>
      <w:r w:rsidR="004461A7">
        <w:rPr>
          <w:rFonts w:ascii="Times New Roman" w:hAnsi="Times New Roman" w:cs="Times New Roman"/>
        </w:rPr>
        <w:t xml:space="preserve"> by holding parties to the strict terms of the contract</w:t>
      </w:r>
      <w:r w:rsidR="009D6113">
        <w:rPr>
          <w:rFonts w:ascii="Times New Roman" w:hAnsi="Times New Roman" w:cs="Times New Roman"/>
        </w:rPr>
        <w:t>.</w:t>
      </w:r>
      <w:r w:rsidR="003D34F6">
        <w:rPr>
          <w:rStyle w:val="FootnoteReference"/>
          <w:rFonts w:ascii="Times New Roman" w:hAnsi="Times New Roman"/>
        </w:rPr>
        <w:footnoteReference w:id="64"/>
      </w:r>
      <w:r w:rsidR="009D6113">
        <w:rPr>
          <w:rFonts w:ascii="Times New Roman" w:hAnsi="Times New Roman" w:cs="Times New Roman"/>
        </w:rPr>
        <w:t xml:space="preserve"> </w:t>
      </w:r>
      <w:r w:rsidR="00900A28">
        <w:rPr>
          <w:rFonts w:ascii="Times New Roman" w:hAnsi="Times New Roman" w:cs="Times New Roman"/>
        </w:rPr>
        <w:t xml:space="preserve"> </w:t>
      </w:r>
      <w:r w:rsidR="003D2E51">
        <w:rPr>
          <w:rFonts w:ascii="Times New Roman" w:hAnsi="Times New Roman" w:cs="Times New Roman"/>
        </w:rPr>
        <w:t>But what about</w:t>
      </w:r>
      <w:r w:rsidR="00003CEF">
        <w:rPr>
          <w:rFonts w:ascii="Times New Roman" w:hAnsi="Times New Roman" w:cs="Times New Roman"/>
        </w:rPr>
        <w:t xml:space="preserve"> context--</w:t>
      </w:r>
      <w:r w:rsidR="003D2E51">
        <w:rPr>
          <w:rFonts w:ascii="Times New Roman" w:hAnsi="Times New Roman" w:cs="Times New Roman"/>
        </w:rPr>
        <w:t xml:space="preserve"> </w:t>
      </w:r>
      <w:r w:rsidR="00833464">
        <w:rPr>
          <w:rFonts w:ascii="Times New Roman" w:hAnsi="Times New Roman" w:cs="Times New Roman"/>
        </w:rPr>
        <w:t xml:space="preserve">the </w:t>
      </w:r>
      <w:r w:rsidR="003D2E51">
        <w:rPr>
          <w:rFonts w:ascii="Times New Roman" w:hAnsi="Times New Roman" w:cs="Times New Roman"/>
        </w:rPr>
        <w:t>party to party adjustments</w:t>
      </w:r>
      <w:r w:rsidR="005D2C5A">
        <w:rPr>
          <w:rFonts w:ascii="Times New Roman" w:hAnsi="Times New Roman" w:cs="Times New Roman"/>
        </w:rPr>
        <w:t xml:space="preserve"> </w:t>
      </w:r>
      <w:r w:rsidR="00833464">
        <w:rPr>
          <w:rFonts w:ascii="Times New Roman" w:hAnsi="Times New Roman" w:cs="Times New Roman"/>
        </w:rPr>
        <w:t xml:space="preserve">that are always necessary </w:t>
      </w:r>
      <w:r w:rsidR="005D2C5A">
        <w:rPr>
          <w:rFonts w:ascii="Times New Roman" w:hAnsi="Times New Roman" w:cs="Times New Roman"/>
        </w:rPr>
        <w:t xml:space="preserve">as </w:t>
      </w:r>
      <w:r w:rsidR="00833464">
        <w:rPr>
          <w:rFonts w:ascii="Times New Roman" w:hAnsi="Times New Roman" w:cs="Times New Roman"/>
        </w:rPr>
        <w:t xml:space="preserve">changed </w:t>
      </w:r>
      <w:r w:rsidR="005D2C5A">
        <w:rPr>
          <w:rFonts w:ascii="Times New Roman" w:hAnsi="Times New Roman" w:cs="Times New Roman"/>
        </w:rPr>
        <w:t xml:space="preserve">conditions affect performance?   That </w:t>
      </w:r>
      <w:r w:rsidR="005D2C5A">
        <w:rPr>
          <w:rFonts w:ascii="Times New Roman" w:hAnsi="Times New Roman" w:cs="Times New Roman"/>
        </w:rPr>
        <w:lastRenderedPageBreak/>
        <w:t xml:space="preserve">is left </w:t>
      </w:r>
      <w:r w:rsidR="004461A7">
        <w:rPr>
          <w:rFonts w:ascii="Times New Roman" w:hAnsi="Times New Roman" w:cs="Times New Roman"/>
        </w:rPr>
        <w:t xml:space="preserve">entirely </w:t>
      </w:r>
      <w:proofErr w:type="gramStart"/>
      <w:r w:rsidR="005D2C5A">
        <w:rPr>
          <w:rFonts w:ascii="Times New Roman" w:hAnsi="Times New Roman" w:cs="Times New Roman"/>
        </w:rPr>
        <w:t>to</w:t>
      </w:r>
      <w:proofErr w:type="gramEnd"/>
      <w:r w:rsidR="00833464">
        <w:rPr>
          <w:rFonts w:ascii="Times New Roman" w:hAnsi="Times New Roman" w:cs="Times New Roman"/>
        </w:rPr>
        <w:t xml:space="preserve"> </w:t>
      </w:r>
      <w:r w:rsidR="005D2C5A">
        <w:rPr>
          <w:rFonts w:ascii="Times New Roman" w:hAnsi="Times New Roman" w:cs="Times New Roman"/>
        </w:rPr>
        <w:t>relational norms of reciprocity</w:t>
      </w:r>
      <w:r w:rsidR="00C52F18">
        <w:rPr>
          <w:rFonts w:ascii="Times New Roman" w:hAnsi="Times New Roman" w:cs="Times New Roman"/>
        </w:rPr>
        <w:t xml:space="preserve"> (</w:t>
      </w:r>
      <w:r w:rsidR="00833464">
        <w:rPr>
          <w:rFonts w:ascii="Times New Roman" w:hAnsi="Times New Roman" w:cs="Times New Roman"/>
        </w:rPr>
        <w:t>tit for tat</w:t>
      </w:r>
      <w:r w:rsidR="00C52F18">
        <w:rPr>
          <w:rFonts w:ascii="Times New Roman" w:hAnsi="Times New Roman" w:cs="Times New Roman"/>
        </w:rPr>
        <w:t>)</w:t>
      </w:r>
      <w:r w:rsidR="005D2C5A">
        <w:rPr>
          <w:rFonts w:ascii="Times New Roman" w:hAnsi="Times New Roman" w:cs="Times New Roman"/>
        </w:rPr>
        <w:t xml:space="preserve"> and the discipline of repeated dealings.</w:t>
      </w:r>
      <w:r w:rsidR="00CD4883">
        <w:rPr>
          <w:rStyle w:val="FootnoteReference"/>
          <w:rFonts w:ascii="Times New Roman" w:hAnsi="Times New Roman"/>
        </w:rPr>
        <w:footnoteReference w:id="65"/>
      </w:r>
      <w:r w:rsidR="004461A7" w:rsidRPr="004461A7">
        <w:rPr>
          <w:rFonts w:ascii="Times New Roman" w:hAnsi="Times New Roman" w:cs="Times New Roman"/>
        </w:rPr>
        <w:t xml:space="preserve"> </w:t>
      </w:r>
      <w:r w:rsidR="00833464">
        <w:rPr>
          <w:rFonts w:ascii="Times New Roman" w:hAnsi="Times New Roman" w:cs="Times New Roman"/>
        </w:rPr>
        <w:t xml:space="preserve"> </w:t>
      </w:r>
      <w:r w:rsidR="00C52F18">
        <w:rPr>
          <w:rFonts w:ascii="Times New Roman" w:hAnsi="Times New Roman" w:cs="Times New Roman"/>
        </w:rPr>
        <w:t xml:space="preserve">As a consequence, </w:t>
      </w:r>
      <w:r w:rsidR="00833464">
        <w:rPr>
          <w:rFonts w:ascii="Times New Roman" w:hAnsi="Times New Roman" w:cs="Times New Roman"/>
        </w:rPr>
        <w:t xml:space="preserve">the risk </w:t>
      </w:r>
      <w:r w:rsidR="00C52F18">
        <w:rPr>
          <w:rFonts w:ascii="Times New Roman" w:hAnsi="Times New Roman" w:cs="Times New Roman"/>
        </w:rPr>
        <w:t xml:space="preserve">of parties making strategic argument about the </w:t>
      </w:r>
      <w:r w:rsidR="00EC722D">
        <w:rPr>
          <w:rFonts w:ascii="Times New Roman" w:hAnsi="Times New Roman" w:cs="Times New Roman"/>
        </w:rPr>
        <w:t>“</w:t>
      </w:r>
      <w:r w:rsidR="00C52F18">
        <w:rPr>
          <w:rFonts w:ascii="Times New Roman" w:hAnsi="Times New Roman" w:cs="Times New Roman"/>
        </w:rPr>
        <w:t>true agreement</w:t>
      </w:r>
      <w:r w:rsidR="00EC722D">
        <w:rPr>
          <w:rFonts w:ascii="Times New Roman" w:hAnsi="Times New Roman" w:cs="Times New Roman"/>
        </w:rPr>
        <w:t>”</w:t>
      </w:r>
      <w:r w:rsidR="00C52F18">
        <w:rPr>
          <w:rFonts w:ascii="Times New Roman" w:hAnsi="Times New Roman" w:cs="Times New Roman"/>
        </w:rPr>
        <w:t xml:space="preserve"> is eliminated</w:t>
      </w:r>
      <w:r w:rsidR="00EC722D">
        <w:rPr>
          <w:rFonts w:ascii="Times New Roman" w:hAnsi="Times New Roman" w:cs="Times New Roman"/>
        </w:rPr>
        <w:t>.</w:t>
      </w:r>
      <w:r w:rsidR="00C52F18">
        <w:rPr>
          <w:rFonts w:ascii="Times New Roman" w:hAnsi="Times New Roman" w:cs="Times New Roman"/>
        </w:rPr>
        <w:t xml:space="preserve">  </w:t>
      </w:r>
      <w:r w:rsidR="00833464">
        <w:rPr>
          <w:rFonts w:ascii="Times New Roman" w:hAnsi="Times New Roman" w:cs="Times New Roman"/>
        </w:rPr>
        <w:t xml:space="preserve"> </w:t>
      </w:r>
      <w:r w:rsidR="004461A7">
        <w:rPr>
          <w:rFonts w:ascii="Times New Roman" w:hAnsi="Times New Roman" w:cs="Times New Roman"/>
        </w:rPr>
        <w:t>This is a solution that cabins the court’s enforcement role much more successfully than in the parallel case of the bilateral standardized agreement</w:t>
      </w:r>
      <w:r w:rsidR="00003CEF">
        <w:rPr>
          <w:rFonts w:ascii="Times New Roman" w:hAnsi="Times New Roman" w:cs="Times New Roman"/>
        </w:rPr>
        <w:t>—the paradigmatic exchange of purchase order and acknowledgment forms-</w:t>
      </w:r>
      <w:r w:rsidR="00B9015B">
        <w:rPr>
          <w:rFonts w:ascii="Times New Roman" w:hAnsi="Times New Roman" w:cs="Times New Roman"/>
        </w:rPr>
        <w:t>-</w:t>
      </w:r>
      <w:r w:rsidR="00003CEF">
        <w:rPr>
          <w:rFonts w:ascii="Times New Roman" w:hAnsi="Times New Roman" w:cs="Times New Roman"/>
        </w:rPr>
        <w:t xml:space="preserve">  that</w:t>
      </w:r>
      <w:r w:rsidR="004461A7">
        <w:rPr>
          <w:rFonts w:ascii="Times New Roman" w:hAnsi="Times New Roman" w:cs="Times New Roman"/>
        </w:rPr>
        <w:t xml:space="preserve"> </w:t>
      </w:r>
      <w:r w:rsidR="00B9015B">
        <w:rPr>
          <w:rFonts w:ascii="Times New Roman" w:hAnsi="Times New Roman" w:cs="Times New Roman"/>
        </w:rPr>
        <w:t xml:space="preserve">is </w:t>
      </w:r>
      <w:r w:rsidR="004461A7">
        <w:rPr>
          <w:rFonts w:ascii="Times New Roman" w:hAnsi="Times New Roman" w:cs="Times New Roman"/>
        </w:rPr>
        <w:t xml:space="preserve">governed by the </w:t>
      </w:r>
      <w:r w:rsidR="00003CEF">
        <w:rPr>
          <w:rFonts w:ascii="Times New Roman" w:hAnsi="Times New Roman" w:cs="Times New Roman"/>
        </w:rPr>
        <w:t xml:space="preserve">context-friendly </w:t>
      </w:r>
      <w:r w:rsidR="004461A7">
        <w:rPr>
          <w:rFonts w:ascii="Times New Roman" w:hAnsi="Times New Roman" w:cs="Times New Roman"/>
        </w:rPr>
        <w:t>UCC.</w:t>
      </w:r>
      <w:r w:rsidR="003D34F6">
        <w:rPr>
          <w:rStyle w:val="FootnoteReference"/>
          <w:rFonts w:ascii="Times New Roman" w:hAnsi="Times New Roman"/>
        </w:rPr>
        <w:footnoteReference w:id="66"/>
      </w:r>
      <w:r w:rsidR="004461A7">
        <w:rPr>
          <w:rFonts w:ascii="Times New Roman" w:hAnsi="Times New Roman" w:cs="Times New Roman"/>
        </w:rPr>
        <w:t xml:space="preserve"> </w:t>
      </w:r>
    </w:p>
    <w:p w14:paraId="7A2C74B2" w14:textId="0C0CB19C" w:rsidR="00C366FA" w:rsidRPr="00C366FA" w:rsidRDefault="00C366FA" w:rsidP="00D63CEA">
      <w:pPr>
        <w:pStyle w:val="SubHead3"/>
        <w:spacing w:line="360" w:lineRule="auto"/>
        <w:ind w:left="0"/>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sidR="0027049B">
        <w:rPr>
          <w:rFonts w:ascii="Times New Roman" w:hAnsi="Times New Roman"/>
          <w:b/>
          <w:i/>
          <w:sz w:val="24"/>
          <w:szCs w:val="24"/>
        </w:rPr>
        <w:t xml:space="preserve">E.  </w:t>
      </w:r>
      <w:r>
        <w:rPr>
          <w:rFonts w:ascii="Times New Roman" w:hAnsi="Times New Roman"/>
          <w:b/>
          <w:i/>
          <w:sz w:val="24"/>
          <w:szCs w:val="24"/>
        </w:rPr>
        <w:t>Thick Markets and Higher Uncertainty:  The Case of Expert Courts</w:t>
      </w:r>
    </w:p>
    <w:p w14:paraId="720AD6A2" w14:textId="35B2C183" w:rsidR="00A97853" w:rsidRDefault="00C366FA" w:rsidP="00C366FA">
      <w:pPr>
        <w:pStyle w:val="SubHead3"/>
        <w:spacing w:line="360" w:lineRule="auto"/>
        <w:ind w:left="0"/>
        <w:rPr>
          <w:rFonts w:ascii="Times New Roman" w:hAnsi="Times New Roman"/>
          <w:sz w:val="24"/>
          <w:szCs w:val="24"/>
        </w:rPr>
      </w:pPr>
      <w:r>
        <w:rPr>
          <w:rFonts w:ascii="Times New Roman" w:hAnsi="Times New Roman"/>
          <w:sz w:val="24"/>
          <w:szCs w:val="24"/>
        </w:rPr>
        <w:tab/>
        <w:t xml:space="preserve">        </w:t>
      </w:r>
      <w:r w:rsidR="00615DD9">
        <w:rPr>
          <w:rFonts w:ascii="Times New Roman" w:hAnsi="Times New Roman"/>
          <w:sz w:val="24"/>
          <w:szCs w:val="24"/>
        </w:rPr>
        <w:t>W</w:t>
      </w:r>
      <w:r w:rsidR="00003CEF" w:rsidRPr="00C366FA">
        <w:rPr>
          <w:rFonts w:ascii="Times New Roman" w:hAnsi="Times New Roman"/>
          <w:sz w:val="24"/>
          <w:szCs w:val="24"/>
        </w:rPr>
        <w:t>hat happens in thick markets when uncertainty increases and</w:t>
      </w:r>
      <w:r>
        <w:rPr>
          <w:rFonts w:ascii="Times New Roman" w:hAnsi="Times New Roman"/>
          <w:sz w:val="24"/>
          <w:szCs w:val="24"/>
        </w:rPr>
        <w:t xml:space="preserve">, as in the </w:t>
      </w:r>
      <w:r w:rsidR="00B9015B" w:rsidRPr="00C366FA">
        <w:rPr>
          <w:rFonts w:ascii="Times New Roman" w:hAnsi="Times New Roman"/>
          <w:sz w:val="24"/>
          <w:szCs w:val="24"/>
        </w:rPr>
        <w:t xml:space="preserve">case of bi-lateral contracting, </w:t>
      </w:r>
      <w:r w:rsidR="00003CEF" w:rsidRPr="00C366FA">
        <w:rPr>
          <w:rFonts w:ascii="Times New Roman" w:hAnsi="Times New Roman"/>
          <w:sz w:val="24"/>
          <w:szCs w:val="24"/>
        </w:rPr>
        <w:t>the parties need to rely on standards so as to harness the hindsight advantage of a court?</w:t>
      </w:r>
      <w:bookmarkStart w:id="2" w:name="_Toc253664666"/>
      <w:bookmarkStart w:id="3" w:name="_Toc389217531"/>
      <w:r>
        <w:rPr>
          <w:rStyle w:val="FootnoteReference"/>
          <w:rFonts w:ascii="Times New Roman" w:hAnsi="Times New Roman"/>
          <w:sz w:val="24"/>
          <w:szCs w:val="24"/>
        </w:rPr>
        <w:footnoteReference w:id="67"/>
      </w:r>
      <w:r w:rsidR="00A97853" w:rsidRPr="00C366FA">
        <w:rPr>
          <w:rFonts w:ascii="Times New Roman" w:hAnsi="Times New Roman"/>
          <w:sz w:val="24"/>
          <w:szCs w:val="24"/>
        </w:rPr>
        <w:t xml:space="preserve"> </w:t>
      </w:r>
      <w:bookmarkEnd w:id="2"/>
      <w:bookmarkEnd w:id="3"/>
      <w:r>
        <w:rPr>
          <w:rFonts w:ascii="Times New Roman" w:hAnsi="Times New Roman"/>
          <w:sz w:val="24"/>
          <w:szCs w:val="24"/>
        </w:rPr>
        <w:t xml:space="preserve"> </w:t>
      </w:r>
      <w:r w:rsidR="00A97853" w:rsidRPr="00C366FA">
        <w:rPr>
          <w:rFonts w:ascii="Times New Roman" w:hAnsi="Times New Roman"/>
          <w:sz w:val="24"/>
          <w:szCs w:val="24"/>
        </w:rPr>
        <w:t xml:space="preserve">Consider the setting where there are a large number of highly complex transactions that share general features, but where each transaction has significant idiosyncrasies, and the common background conditions shift rapidly.  This is the setting in which, for example, the legal rules governing the obligations of boards of directors in corporate acquisitions are applied.  </w:t>
      </w:r>
      <w:r w:rsidR="003F38D1">
        <w:rPr>
          <w:rFonts w:ascii="Times New Roman" w:hAnsi="Times New Roman"/>
          <w:sz w:val="24"/>
          <w:szCs w:val="24"/>
        </w:rPr>
        <w:t>Here t</w:t>
      </w:r>
      <w:r w:rsidR="00A97853" w:rsidRPr="00C366FA">
        <w:rPr>
          <w:rFonts w:ascii="Times New Roman" w:hAnsi="Times New Roman"/>
          <w:sz w:val="24"/>
          <w:szCs w:val="24"/>
        </w:rPr>
        <w:t xml:space="preserve">he uncertainty </w:t>
      </w:r>
      <w:r w:rsidR="003F38D1">
        <w:rPr>
          <w:rFonts w:ascii="Times New Roman" w:hAnsi="Times New Roman"/>
          <w:sz w:val="24"/>
          <w:szCs w:val="24"/>
        </w:rPr>
        <w:t>stems from</w:t>
      </w:r>
      <w:r w:rsidR="00A97853" w:rsidRPr="00C366FA">
        <w:rPr>
          <w:rFonts w:ascii="Times New Roman" w:hAnsi="Times New Roman"/>
          <w:sz w:val="24"/>
          <w:szCs w:val="24"/>
        </w:rPr>
        <w:t xml:space="preserve"> the strategic interaction of corporate actors intent on manipulating open-ended rules in volatile environments to advance their private interests.  On the one hand, the parties know the general rules that apply, but also know that the other will seek to exploit those </w:t>
      </w:r>
      <w:r w:rsidR="00A97853" w:rsidRPr="00C366FA">
        <w:rPr>
          <w:rFonts w:ascii="Times New Roman" w:hAnsi="Times New Roman"/>
          <w:sz w:val="24"/>
          <w:szCs w:val="24"/>
        </w:rPr>
        <w:lastRenderedPageBreak/>
        <w:t>rules to its advantage.  To the extent that actors in such an environment take collective actions to reduce the very uncertainty to which they contribute, with the complementary aim of reducing the chance of judicial error in ex post application of standards like fiduciary duty, they will need to rely on expert judges with sign</w:t>
      </w:r>
      <w:r w:rsidR="0027049B">
        <w:rPr>
          <w:rFonts w:ascii="Times New Roman" w:hAnsi="Times New Roman"/>
          <w:sz w:val="24"/>
          <w:szCs w:val="24"/>
        </w:rPr>
        <w:t>ificant experience in the field;</w:t>
      </w:r>
      <w:r w:rsidR="00A97853" w:rsidRPr="00C366FA">
        <w:rPr>
          <w:rFonts w:ascii="Times New Roman" w:hAnsi="Times New Roman"/>
          <w:sz w:val="24"/>
          <w:szCs w:val="24"/>
        </w:rPr>
        <w:t xml:space="preserve"> to rely, that is, on a specialized court of equity.  The specialization of the court and its equitable powers assure parties that, despite the impossibility of codifying decision rules, judicial decisions will be taken with the fullest possible awareness of current understandings of good practice, that is, the court can with reasonable accuracy assess the context because it is part of it. </w:t>
      </w:r>
      <w:r w:rsidR="003F38D1">
        <w:rPr>
          <w:rFonts w:ascii="Times New Roman" w:hAnsi="Times New Roman"/>
          <w:sz w:val="24"/>
          <w:szCs w:val="24"/>
        </w:rPr>
        <w:t>This is the domain of the Delaware Court of Chancery.</w:t>
      </w:r>
    </w:p>
    <w:p w14:paraId="5094F1FC" w14:textId="77777777" w:rsidR="003F38D1" w:rsidRPr="003F38D1" w:rsidRDefault="003F38D1" w:rsidP="003F38D1">
      <w:pPr>
        <w:pStyle w:val="Document"/>
      </w:pPr>
    </w:p>
    <w:p w14:paraId="24D9056F" w14:textId="3750B20D" w:rsidR="00A97853" w:rsidRDefault="00A97853" w:rsidP="00C366FA">
      <w:pPr>
        <w:pStyle w:val="Document"/>
        <w:spacing w:line="360" w:lineRule="auto"/>
        <w:rPr>
          <w:rFonts w:ascii="Times New Roman" w:hAnsi="Times New Roman"/>
          <w:sz w:val="24"/>
          <w:szCs w:val="24"/>
        </w:rPr>
      </w:pPr>
      <w:r w:rsidRPr="00C366FA">
        <w:rPr>
          <w:rFonts w:ascii="Times New Roman" w:hAnsi="Times New Roman"/>
          <w:sz w:val="24"/>
          <w:szCs w:val="24"/>
        </w:rPr>
        <w:t>One way to understand why a majority of U.S. public corporations choose Delaware as an incorporation state is that it serves to allocate to the Delaware Court of Chancery jurisdiction to resolve fiduciary duty issues.  Delaware corporate law gives corporations wide latitude to adopt specific</w:t>
      </w:r>
      <w:r w:rsidR="003F38D1">
        <w:rPr>
          <w:rFonts w:ascii="Times New Roman" w:hAnsi="Times New Roman"/>
          <w:sz w:val="24"/>
          <w:szCs w:val="24"/>
        </w:rPr>
        <w:t xml:space="preserve"> rules governing their behavior but, in fact,</w:t>
      </w:r>
      <w:r w:rsidRPr="00C366FA">
        <w:rPr>
          <w:rFonts w:ascii="Times New Roman" w:hAnsi="Times New Roman"/>
          <w:sz w:val="24"/>
          <w:szCs w:val="24"/>
        </w:rPr>
        <w:t xml:space="preserve"> Delaware corporations appear </w:t>
      </w:r>
      <w:r w:rsidR="00615DD9">
        <w:rPr>
          <w:rFonts w:ascii="Times New Roman" w:hAnsi="Times New Roman"/>
          <w:sz w:val="24"/>
          <w:szCs w:val="24"/>
        </w:rPr>
        <w:t xml:space="preserve">to have declined to do so, instead limiting their ex ante contracting in the </w:t>
      </w:r>
      <w:r w:rsidRPr="00C366FA">
        <w:rPr>
          <w:rFonts w:ascii="Times New Roman" w:hAnsi="Times New Roman"/>
          <w:sz w:val="24"/>
          <w:szCs w:val="24"/>
        </w:rPr>
        <w:t xml:space="preserve">articles of incorporation and bylaws </w:t>
      </w:r>
      <w:r w:rsidR="00615DD9">
        <w:rPr>
          <w:rFonts w:ascii="Times New Roman" w:hAnsi="Times New Roman"/>
          <w:sz w:val="24"/>
          <w:szCs w:val="24"/>
        </w:rPr>
        <w:t xml:space="preserve">to </w:t>
      </w:r>
      <w:r w:rsidRPr="00C366FA">
        <w:rPr>
          <w:rFonts w:ascii="Times New Roman" w:hAnsi="Times New Roman"/>
          <w:sz w:val="24"/>
          <w:szCs w:val="24"/>
        </w:rPr>
        <w:t>f</w:t>
      </w:r>
      <w:r w:rsidR="00615DD9">
        <w:rPr>
          <w:rFonts w:ascii="Times New Roman" w:hAnsi="Times New Roman"/>
          <w:sz w:val="24"/>
          <w:szCs w:val="24"/>
        </w:rPr>
        <w:t>ormal issues like meeting dates.  The reason is uncertainty:</w:t>
      </w:r>
      <w:r w:rsidRPr="00C366FA">
        <w:rPr>
          <w:rFonts w:ascii="Times New Roman" w:hAnsi="Times New Roman"/>
          <w:sz w:val="24"/>
          <w:szCs w:val="24"/>
        </w:rPr>
        <w:t xml:space="preserve"> a corporation’s circumstances and the evolution of the market for corporate control are too uncertain to specify ex ante conduct rules that will govern all of the corporation’s activities in the future.</w:t>
      </w:r>
      <w:r w:rsidRPr="00615DD9">
        <w:rPr>
          <w:rStyle w:val="NoterefInText"/>
          <w:rFonts w:ascii="Times New Roman" w:hAnsi="Times New Roman"/>
          <w:sz w:val="18"/>
          <w:szCs w:val="18"/>
        </w:rPr>
        <w:footnoteReference w:id="68"/>
      </w:r>
      <w:r w:rsidRPr="00615DD9">
        <w:rPr>
          <w:rFonts w:ascii="Times New Roman" w:hAnsi="Times New Roman"/>
          <w:sz w:val="18"/>
          <w:szCs w:val="18"/>
        </w:rPr>
        <w:t xml:space="preserve"> </w:t>
      </w:r>
      <w:r w:rsidRPr="00C366FA">
        <w:rPr>
          <w:rFonts w:ascii="Times New Roman" w:hAnsi="Times New Roman"/>
          <w:sz w:val="24"/>
          <w:szCs w:val="24"/>
        </w:rPr>
        <w:t xml:space="preserve"> Formal compliance with ex ante rules thus remains subject to ex post court review through a standard—the director and officer’s overriding obligation of fiduciary duty.</w:t>
      </w:r>
      <w:r w:rsidRPr="00615DD9">
        <w:rPr>
          <w:rStyle w:val="NoterefInText"/>
          <w:rFonts w:ascii="Times New Roman" w:hAnsi="Times New Roman"/>
          <w:sz w:val="18"/>
          <w:szCs w:val="18"/>
        </w:rPr>
        <w:footnoteReference w:id="69"/>
      </w:r>
      <w:r w:rsidRPr="00615DD9">
        <w:rPr>
          <w:rFonts w:ascii="Times New Roman" w:hAnsi="Times New Roman"/>
          <w:sz w:val="18"/>
          <w:szCs w:val="18"/>
        </w:rPr>
        <w:t xml:space="preserve"> </w:t>
      </w:r>
      <w:r w:rsidRPr="00C366FA">
        <w:rPr>
          <w:rFonts w:ascii="Times New Roman" w:hAnsi="Times New Roman"/>
          <w:sz w:val="24"/>
          <w:szCs w:val="24"/>
        </w:rPr>
        <w:t xml:space="preserve"> </w:t>
      </w:r>
      <w:r w:rsidR="00615DD9">
        <w:rPr>
          <w:rFonts w:ascii="Times New Roman" w:hAnsi="Times New Roman"/>
          <w:sz w:val="24"/>
          <w:szCs w:val="24"/>
        </w:rPr>
        <w:t>Just l</w:t>
      </w:r>
      <w:r w:rsidRPr="00C366FA">
        <w:rPr>
          <w:rFonts w:ascii="Times New Roman" w:hAnsi="Times New Roman"/>
          <w:sz w:val="24"/>
          <w:szCs w:val="24"/>
        </w:rPr>
        <w:t xml:space="preserve">ike contracting parties operating under uncertainty, ex post gaps in </w:t>
      </w:r>
      <w:r w:rsidR="00615DD9">
        <w:rPr>
          <w:rFonts w:ascii="Times New Roman" w:hAnsi="Times New Roman"/>
          <w:sz w:val="24"/>
          <w:szCs w:val="24"/>
        </w:rPr>
        <w:t>a corporation’s</w:t>
      </w:r>
      <w:r w:rsidRPr="00C366FA">
        <w:rPr>
          <w:rFonts w:ascii="Times New Roman" w:hAnsi="Times New Roman"/>
          <w:sz w:val="24"/>
          <w:szCs w:val="24"/>
        </w:rPr>
        <w:t xml:space="preserve"> articles of incorporation and bylaws will be filled by a standard</w:t>
      </w:r>
      <w:r w:rsidR="00615DD9">
        <w:rPr>
          <w:rFonts w:ascii="Times New Roman" w:hAnsi="Times New Roman"/>
          <w:sz w:val="24"/>
          <w:szCs w:val="24"/>
        </w:rPr>
        <w:t xml:space="preserve">.  But the thick market enables a corporation to mitigate the </w:t>
      </w:r>
      <w:r w:rsidR="00421767">
        <w:rPr>
          <w:rFonts w:ascii="Times New Roman" w:hAnsi="Times New Roman"/>
          <w:sz w:val="24"/>
          <w:szCs w:val="24"/>
        </w:rPr>
        <w:t>Goldilocks</w:t>
      </w:r>
      <w:r w:rsidR="00615DD9">
        <w:rPr>
          <w:rFonts w:ascii="Times New Roman" w:hAnsi="Times New Roman"/>
          <w:sz w:val="24"/>
          <w:szCs w:val="24"/>
        </w:rPr>
        <w:t xml:space="preserve"> problem</w:t>
      </w:r>
      <w:r w:rsidRPr="00C366FA">
        <w:rPr>
          <w:rFonts w:ascii="Times New Roman" w:hAnsi="Times New Roman"/>
          <w:sz w:val="24"/>
          <w:szCs w:val="24"/>
        </w:rPr>
        <w:t xml:space="preserve"> </w:t>
      </w:r>
      <w:r w:rsidR="00615DD9">
        <w:rPr>
          <w:rFonts w:ascii="Times New Roman" w:hAnsi="Times New Roman"/>
          <w:sz w:val="24"/>
          <w:szCs w:val="24"/>
        </w:rPr>
        <w:t xml:space="preserve">by </w:t>
      </w:r>
      <w:r w:rsidRPr="00C366FA">
        <w:rPr>
          <w:rFonts w:ascii="Times New Roman" w:hAnsi="Times New Roman"/>
          <w:sz w:val="24"/>
          <w:szCs w:val="24"/>
        </w:rPr>
        <w:t xml:space="preserve">incorporating in a jurisdiction that has sufficient scale of </w:t>
      </w:r>
      <w:r w:rsidRPr="00C366FA">
        <w:rPr>
          <w:rFonts w:ascii="Times New Roman" w:hAnsi="Times New Roman"/>
          <w:sz w:val="24"/>
          <w:szCs w:val="24"/>
        </w:rPr>
        <w:lastRenderedPageBreak/>
        <w:t>incorporations that its judges develop the necessary experience and expertise.</w:t>
      </w:r>
      <w:bookmarkStart w:id="4" w:name="_Ref253594034"/>
      <w:r w:rsidRPr="00E7630A">
        <w:rPr>
          <w:rStyle w:val="NoterefInText"/>
          <w:rFonts w:ascii="Times New Roman" w:hAnsi="Times New Roman"/>
          <w:sz w:val="18"/>
          <w:szCs w:val="18"/>
        </w:rPr>
        <w:footnoteReference w:id="70"/>
      </w:r>
      <w:bookmarkEnd w:id="4"/>
      <w:r w:rsidRPr="00C366FA">
        <w:rPr>
          <w:rFonts w:ascii="Times New Roman" w:hAnsi="Times New Roman"/>
          <w:sz w:val="24"/>
          <w:szCs w:val="24"/>
        </w:rPr>
        <w:t xml:space="preserve">  In this respect a modern court of equity resembles the early English courts of equity—the Chancery Court has deep knowledge of the community whose disputes it resolves, as did the early courts of equity with respect to the homogenous economy in which its litigants operated.</w:t>
      </w:r>
    </w:p>
    <w:p w14:paraId="021C9EC4" w14:textId="77777777" w:rsidR="00E7630A" w:rsidRPr="00C366FA" w:rsidRDefault="00E7630A" w:rsidP="00C366FA">
      <w:pPr>
        <w:pStyle w:val="Document"/>
        <w:spacing w:line="360" w:lineRule="auto"/>
        <w:rPr>
          <w:rFonts w:ascii="Times New Roman" w:hAnsi="Times New Roman"/>
          <w:sz w:val="24"/>
          <w:szCs w:val="24"/>
        </w:rPr>
      </w:pPr>
    </w:p>
    <w:p w14:paraId="34503E7D" w14:textId="52EA2725" w:rsidR="00A97853" w:rsidRDefault="00E7630A" w:rsidP="00E7630A">
      <w:pPr>
        <w:pStyle w:val="Document"/>
        <w:spacing w:line="360" w:lineRule="auto"/>
        <w:rPr>
          <w:rFonts w:ascii="Times New Roman" w:hAnsi="Times New Roman"/>
          <w:sz w:val="24"/>
          <w:szCs w:val="24"/>
        </w:rPr>
      </w:pPr>
      <w:r>
        <w:rPr>
          <w:rFonts w:ascii="Times New Roman" w:hAnsi="Times New Roman"/>
          <w:sz w:val="24"/>
          <w:szCs w:val="24"/>
        </w:rPr>
        <w:t xml:space="preserve">There are other examples of </w:t>
      </w:r>
      <w:r w:rsidR="00A97853" w:rsidRPr="00C366FA">
        <w:rPr>
          <w:rFonts w:ascii="Times New Roman" w:hAnsi="Times New Roman"/>
          <w:sz w:val="24"/>
          <w:szCs w:val="24"/>
        </w:rPr>
        <w:t>court</w:t>
      </w:r>
      <w:r>
        <w:rPr>
          <w:rFonts w:ascii="Times New Roman" w:hAnsi="Times New Roman"/>
          <w:sz w:val="24"/>
          <w:szCs w:val="24"/>
        </w:rPr>
        <w:t>s</w:t>
      </w:r>
      <w:r w:rsidR="00A97853" w:rsidRPr="00C366FA">
        <w:rPr>
          <w:rFonts w:ascii="Times New Roman" w:hAnsi="Times New Roman"/>
          <w:sz w:val="24"/>
          <w:szCs w:val="24"/>
        </w:rPr>
        <w:t xml:space="preserve"> </w:t>
      </w:r>
      <w:r>
        <w:rPr>
          <w:rFonts w:ascii="Times New Roman" w:hAnsi="Times New Roman"/>
          <w:sz w:val="24"/>
          <w:szCs w:val="24"/>
        </w:rPr>
        <w:t>that</w:t>
      </w:r>
      <w:r w:rsidR="00A97853" w:rsidRPr="00C366FA">
        <w:rPr>
          <w:rFonts w:ascii="Times New Roman" w:hAnsi="Times New Roman"/>
          <w:sz w:val="24"/>
          <w:szCs w:val="24"/>
        </w:rPr>
        <w:t xml:space="preserve"> have the favorable attributes </w:t>
      </w:r>
      <w:r>
        <w:rPr>
          <w:rFonts w:ascii="Times New Roman" w:hAnsi="Times New Roman"/>
          <w:sz w:val="24"/>
          <w:szCs w:val="24"/>
        </w:rPr>
        <w:t>I</w:t>
      </w:r>
      <w:r w:rsidR="00A97853" w:rsidRPr="00C366FA">
        <w:rPr>
          <w:rFonts w:ascii="Times New Roman" w:hAnsi="Times New Roman"/>
          <w:sz w:val="24"/>
          <w:szCs w:val="24"/>
        </w:rPr>
        <w:t xml:space="preserve"> have ascribed to early courts of equity</w:t>
      </w:r>
      <w:r w:rsidR="00423360">
        <w:rPr>
          <w:rFonts w:ascii="Times New Roman" w:hAnsi="Times New Roman"/>
          <w:sz w:val="24"/>
          <w:szCs w:val="24"/>
        </w:rPr>
        <w:t>.  This expertise</w:t>
      </w:r>
      <w:r>
        <w:rPr>
          <w:rFonts w:ascii="Times New Roman" w:hAnsi="Times New Roman"/>
          <w:sz w:val="24"/>
          <w:szCs w:val="24"/>
        </w:rPr>
        <w:t xml:space="preserve"> </w:t>
      </w:r>
      <w:r w:rsidR="00A97853" w:rsidRPr="00C366FA">
        <w:rPr>
          <w:rFonts w:ascii="Times New Roman" w:hAnsi="Times New Roman"/>
          <w:sz w:val="24"/>
          <w:szCs w:val="24"/>
        </w:rPr>
        <w:t>result</w:t>
      </w:r>
      <w:r w:rsidR="0027049B">
        <w:rPr>
          <w:rFonts w:ascii="Times New Roman" w:hAnsi="Times New Roman"/>
          <w:sz w:val="24"/>
          <w:szCs w:val="24"/>
        </w:rPr>
        <w:t>s</w:t>
      </w:r>
      <w:r w:rsidR="00A97853" w:rsidRPr="00C366FA">
        <w:rPr>
          <w:rFonts w:ascii="Times New Roman" w:hAnsi="Times New Roman"/>
          <w:sz w:val="24"/>
          <w:szCs w:val="24"/>
        </w:rPr>
        <w:t xml:space="preserve"> often from geographical concentration of industry and therefore cases.</w:t>
      </w:r>
      <w:r w:rsidR="00A97853" w:rsidRPr="001C3140">
        <w:rPr>
          <w:rStyle w:val="NoterefInText"/>
          <w:rFonts w:ascii="Times New Roman" w:hAnsi="Times New Roman"/>
          <w:sz w:val="18"/>
          <w:szCs w:val="18"/>
        </w:rPr>
        <w:footnoteReference w:id="71"/>
      </w:r>
      <w:r w:rsidR="00A97853" w:rsidRPr="00C366FA">
        <w:rPr>
          <w:rFonts w:ascii="Times New Roman" w:hAnsi="Times New Roman"/>
          <w:sz w:val="24"/>
          <w:szCs w:val="24"/>
        </w:rPr>
        <w:t xml:space="preserve">  </w:t>
      </w:r>
      <w:r>
        <w:rPr>
          <w:rFonts w:ascii="Times New Roman" w:hAnsi="Times New Roman"/>
          <w:sz w:val="24"/>
          <w:szCs w:val="24"/>
        </w:rPr>
        <w:t>T</w:t>
      </w:r>
      <w:r w:rsidRPr="00C366FA">
        <w:rPr>
          <w:rFonts w:ascii="Times New Roman" w:hAnsi="Times New Roman"/>
          <w:sz w:val="24"/>
          <w:szCs w:val="24"/>
        </w:rPr>
        <w:t>he Santa Clara County Superior Court, which is the California trial court for much of Silicon Valley</w:t>
      </w:r>
      <w:r>
        <w:rPr>
          <w:rFonts w:ascii="Times New Roman" w:hAnsi="Times New Roman"/>
          <w:sz w:val="24"/>
          <w:szCs w:val="24"/>
        </w:rPr>
        <w:t>,</w:t>
      </w:r>
      <w:r w:rsidRPr="00C366FA">
        <w:rPr>
          <w:rFonts w:ascii="Times New Roman" w:hAnsi="Times New Roman"/>
          <w:sz w:val="24"/>
          <w:szCs w:val="24"/>
        </w:rPr>
        <w:t xml:space="preserve"> is generalist in terms of jurisdiction but is specialized as a result of geographic industrial concentration (rather than the virtual concentration observed in Delaware).</w:t>
      </w:r>
      <w:r w:rsidRPr="001C3140">
        <w:rPr>
          <w:rStyle w:val="NoterefInText"/>
          <w:rFonts w:ascii="Times New Roman" w:hAnsi="Times New Roman"/>
          <w:sz w:val="18"/>
          <w:szCs w:val="18"/>
        </w:rPr>
        <w:footnoteReference w:id="72"/>
      </w:r>
      <w:r w:rsidRPr="001C3140">
        <w:rPr>
          <w:rFonts w:ascii="Times New Roman" w:hAnsi="Times New Roman"/>
          <w:sz w:val="18"/>
          <w:szCs w:val="18"/>
        </w:rPr>
        <w:t xml:space="preserve"> </w:t>
      </w:r>
      <w:r w:rsidRPr="00C366FA">
        <w:rPr>
          <w:rFonts w:ascii="Times New Roman" w:hAnsi="Times New Roman"/>
          <w:sz w:val="24"/>
          <w:szCs w:val="24"/>
        </w:rPr>
        <w:t xml:space="preserve"> </w:t>
      </w:r>
      <w:r w:rsidR="00A97853" w:rsidRPr="00C366FA">
        <w:rPr>
          <w:rFonts w:ascii="Times New Roman" w:hAnsi="Times New Roman"/>
          <w:sz w:val="24"/>
          <w:szCs w:val="24"/>
        </w:rPr>
        <w:t>Such a match between local courts and local industry provides an effective legal infrastructure for an industrial district;</w:t>
      </w:r>
      <w:r w:rsidR="00A97853" w:rsidRPr="001C3140">
        <w:rPr>
          <w:rStyle w:val="NoterefInText"/>
          <w:rFonts w:ascii="Times New Roman" w:hAnsi="Times New Roman"/>
          <w:sz w:val="18"/>
          <w:szCs w:val="18"/>
        </w:rPr>
        <w:footnoteReference w:id="73"/>
      </w:r>
      <w:r w:rsidR="00A97853" w:rsidRPr="00C366FA">
        <w:rPr>
          <w:rFonts w:ascii="Times New Roman" w:hAnsi="Times New Roman"/>
          <w:sz w:val="24"/>
          <w:szCs w:val="24"/>
        </w:rPr>
        <w:t xml:space="preserve"> the generalist court acquires the expertise to well serve its litigants—in this regard, it becomes a specialist.</w:t>
      </w:r>
    </w:p>
    <w:p w14:paraId="73149257" w14:textId="77777777" w:rsidR="001C3140" w:rsidRPr="00C366FA" w:rsidRDefault="001C3140" w:rsidP="00E7630A">
      <w:pPr>
        <w:pStyle w:val="Document"/>
        <w:spacing w:line="360" w:lineRule="auto"/>
        <w:rPr>
          <w:rFonts w:ascii="Times New Roman" w:hAnsi="Times New Roman"/>
          <w:sz w:val="24"/>
          <w:szCs w:val="24"/>
        </w:rPr>
      </w:pPr>
    </w:p>
    <w:p w14:paraId="4903BCAB" w14:textId="21E3E9BF" w:rsidR="00F3433E" w:rsidRDefault="00003CEF" w:rsidP="00C366FA">
      <w:pPr>
        <w:pStyle w:val="Document"/>
        <w:spacing w:line="360" w:lineRule="auto"/>
        <w:rPr>
          <w:rFonts w:ascii="Times New Roman" w:hAnsi="Times New Roman"/>
          <w:sz w:val="24"/>
          <w:szCs w:val="24"/>
        </w:rPr>
      </w:pPr>
      <w:r w:rsidRPr="00C366FA">
        <w:rPr>
          <w:rFonts w:ascii="Times New Roman" w:hAnsi="Times New Roman"/>
          <w:sz w:val="24"/>
          <w:szCs w:val="24"/>
        </w:rPr>
        <w:t xml:space="preserve">  </w:t>
      </w:r>
      <w:r w:rsidR="006C36B3" w:rsidRPr="00C366FA">
        <w:rPr>
          <w:rFonts w:ascii="Times New Roman" w:hAnsi="Times New Roman"/>
          <w:sz w:val="24"/>
          <w:szCs w:val="24"/>
        </w:rPr>
        <w:t xml:space="preserve">Under </w:t>
      </w:r>
      <w:r w:rsidR="001B7D90" w:rsidRPr="00C366FA">
        <w:rPr>
          <w:rFonts w:ascii="Times New Roman" w:hAnsi="Times New Roman"/>
          <w:sz w:val="24"/>
          <w:szCs w:val="24"/>
        </w:rPr>
        <w:t>certain conditions</w:t>
      </w:r>
      <w:r w:rsidR="00E7630A">
        <w:rPr>
          <w:rFonts w:ascii="Times New Roman" w:hAnsi="Times New Roman"/>
          <w:sz w:val="24"/>
          <w:szCs w:val="24"/>
        </w:rPr>
        <w:t>, therefore,</w:t>
      </w:r>
      <w:r w:rsidRPr="00C366FA">
        <w:rPr>
          <w:rFonts w:ascii="Times New Roman" w:hAnsi="Times New Roman"/>
          <w:sz w:val="24"/>
          <w:szCs w:val="24"/>
        </w:rPr>
        <w:t xml:space="preserve"> parties use their scale to invest </w:t>
      </w:r>
      <w:r w:rsidR="001B7D90" w:rsidRPr="00C366FA">
        <w:rPr>
          <w:rFonts w:ascii="Times New Roman" w:hAnsi="Times New Roman"/>
          <w:sz w:val="24"/>
          <w:szCs w:val="24"/>
        </w:rPr>
        <w:t xml:space="preserve">a </w:t>
      </w:r>
      <w:r w:rsidR="00B9015B" w:rsidRPr="00C366FA">
        <w:rPr>
          <w:rFonts w:ascii="Times New Roman" w:hAnsi="Times New Roman"/>
          <w:sz w:val="24"/>
          <w:szCs w:val="24"/>
        </w:rPr>
        <w:t>p</w:t>
      </w:r>
      <w:r w:rsidR="001B7D90" w:rsidRPr="00C366FA">
        <w:rPr>
          <w:rFonts w:ascii="Times New Roman" w:hAnsi="Times New Roman"/>
          <w:sz w:val="24"/>
          <w:szCs w:val="24"/>
        </w:rPr>
        <w:t xml:space="preserve">articular </w:t>
      </w:r>
      <w:r w:rsidRPr="00C366FA">
        <w:rPr>
          <w:rFonts w:ascii="Times New Roman" w:hAnsi="Times New Roman"/>
          <w:sz w:val="24"/>
          <w:szCs w:val="24"/>
        </w:rPr>
        <w:t>court with expertise in</w:t>
      </w:r>
      <w:r w:rsidR="001B7D90" w:rsidRPr="00C366FA">
        <w:rPr>
          <w:rFonts w:ascii="Times New Roman" w:hAnsi="Times New Roman"/>
          <w:sz w:val="24"/>
          <w:szCs w:val="24"/>
        </w:rPr>
        <w:t xml:space="preserve"> </w:t>
      </w:r>
      <w:r w:rsidR="00B9015B" w:rsidRPr="00C366FA">
        <w:rPr>
          <w:rFonts w:ascii="Times New Roman" w:hAnsi="Times New Roman"/>
          <w:sz w:val="24"/>
          <w:szCs w:val="24"/>
        </w:rPr>
        <w:t>dis</w:t>
      </w:r>
      <w:r w:rsidR="001B7D90" w:rsidRPr="00C366FA">
        <w:rPr>
          <w:rFonts w:ascii="Times New Roman" w:hAnsi="Times New Roman"/>
          <w:sz w:val="24"/>
          <w:szCs w:val="24"/>
        </w:rPr>
        <w:t xml:space="preserve">covering </w:t>
      </w:r>
      <w:r w:rsidR="00E7630A">
        <w:rPr>
          <w:rFonts w:ascii="Times New Roman" w:hAnsi="Times New Roman"/>
          <w:sz w:val="24"/>
          <w:szCs w:val="24"/>
        </w:rPr>
        <w:t>the relevant context.</w:t>
      </w:r>
      <w:r w:rsidR="00F3433E" w:rsidRPr="00C366FA">
        <w:rPr>
          <w:rFonts w:ascii="Times New Roman" w:hAnsi="Times New Roman"/>
          <w:sz w:val="24"/>
          <w:szCs w:val="24"/>
        </w:rPr>
        <w:t xml:space="preserve">  Courts in </w:t>
      </w:r>
      <w:r w:rsidR="001B7D90" w:rsidRPr="00C366FA">
        <w:rPr>
          <w:rFonts w:ascii="Times New Roman" w:hAnsi="Times New Roman"/>
          <w:sz w:val="24"/>
          <w:szCs w:val="24"/>
        </w:rPr>
        <w:t xml:space="preserve">these </w:t>
      </w:r>
      <w:r w:rsidR="00F3433E" w:rsidRPr="00C366FA">
        <w:rPr>
          <w:rFonts w:ascii="Times New Roman" w:hAnsi="Times New Roman"/>
          <w:sz w:val="24"/>
          <w:szCs w:val="24"/>
        </w:rPr>
        <w:t>areas of geographic concentration of similar contracting parties can</w:t>
      </w:r>
      <w:r w:rsidR="001B7D90" w:rsidRPr="00C366FA">
        <w:rPr>
          <w:rFonts w:ascii="Times New Roman" w:hAnsi="Times New Roman"/>
          <w:sz w:val="24"/>
          <w:szCs w:val="24"/>
        </w:rPr>
        <w:t xml:space="preserve"> over time </w:t>
      </w:r>
      <w:r w:rsidR="00F3433E" w:rsidRPr="00C366FA">
        <w:rPr>
          <w:rFonts w:ascii="Times New Roman" w:hAnsi="Times New Roman"/>
          <w:sz w:val="24"/>
          <w:szCs w:val="24"/>
        </w:rPr>
        <w:t>develop both judicial</w:t>
      </w:r>
      <w:r w:rsidR="00F3433E" w:rsidRPr="00F3433E">
        <w:rPr>
          <w:rFonts w:ascii="Times New Roman" w:hAnsi="Times New Roman"/>
          <w:sz w:val="24"/>
          <w:szCs w:val="24"/>
        </w:rPr>
        <w:t xml:space="preserve"> expertise in the subject matter and a body of precedents that can parall</w:t>
      </w:r>
      <w:r w:rsidR="00F3433E">
        <w:rPr>
          <w:rFonts w:ascii="Times New Roman" w:hAnsi="Times New Roman"/>
          <w:sz w:val="24"/>
          <w:szCs w:val="24"/>
        </w:rPr>
        <w:t xml:space="preserve">el </w:t>
      </w:r>
      <w:r w:rsidR="00B9015B">
        <w:rPr>
          <w:rFonts w:ascii="Times New Roman" w:hAnsi="Times New Roman"/>
          <w:sz w:val="24"/>
          <w:szCs w:val="24"/>
        </w:rPr>
        <w:t xml:space="preserve">the </w:t>
      </w:r>
      <w:r w:rsidR="00F3433E">
        <w:rPr>
          <w:rFonts w:ascii="Times New Roman" w:hAnsi="Times New Roman"/>
          <w:sz w:val="24"/>
          <w:szCs w:val="24"/>
        </w:rPr>
        <w:t>private interpretive regimes created by trade associations.</w:t>
      </w:r>
      <w:r w:rsidR="00F3433E" w:rsidRPr="00F3433E">
        <w:rPr>
          <w:rFonts w:ascii="Times New Roman" w:hAnsi="Times New Roman"/>
          <w:sz w:val="24"/>
          <w:szCs w:val="24"/>
        </w:rPr>
        <w:t xml:space="preserve">  In effect, in instances such as the Delaware Court of Chancery and the Santa Clara County Superior Court we see a </w:t>
      </w:r>
      <w:r w:rsidR="00F3433E">
        <w:rPr>
          <w:rFonts w:ascii="Times New Roman" w:hAnsi="Times New Roman"/>
          <w:sz w:val="24"/>
          <w:szCs w:val="24"/>
        </w:rPr>
        <w:lastRenderedPageBreak/>
        <w:t>contracting regime</w:t>
      </w:r>
      <w:r w:rsidR="00F3433E" w:rsidRPr="00F3433E">
        <w:rPr>
          <w:rFonts w:ascii="Times New Roman" w:hAnsi="Times New Roman"/>
          <w:sz w:val="24"/>
          <w:szCs w:val="24"/>
        </w:rPr>
        <w:t xml:space="preserve"> that reflects both the constraints imposed by the problems of uncertainty and scale and the potential that generalist courts may become specialist courts through repeated exposure to the particular industry.  Under these circumstances, a generalist court can serve a geographic concentratio</w:t>
      </w:r>
      <w:r w:rsidR="001B7D90">
        <w:rPr>
          <w:rFonts w:ascii="Times New Roman" w:hAnsi="Times New Roman"/>
          <w:sz w:val="24"/>
          <w:szCs w:val="24"/>
        </w:rPr>
        <w:t xml:space="preserve">n of similar contracting parties by engaging in </w:t>
      </w:r>
      <w:proofErr w:type="spellStart"/>
      <w:r w:rsidR="001B7D90">
        <w:rPr>
          <w:rFonts w:ascii="Times New Roman" w:hAnsi="Times New Roman"/>
          <w:sz w:val="24"/>
          <w:szCs w:val="24"/>
        </w:rPr>
        <w:t>contextualist</w:t>
      </w:r>
      <w:proofErr w:type="spellEnd"/>
      <w:r w:rsidR="001B7D90">
        <w:rPr>
          <w:rFonts w:ascii="Times New Roman" w:hAnsi="Times New Roman"/>
          <w:sz w:val="24"/>
          <w:szCs w:val="24"/>
        </w:rPr>
        <w:t xml:space="preserve"> interpretation in careful and skillful ways </w:t>
      </w:r>
      <w:r w:rsidR="00B9015B">
        <w:rPr>
          <w:rFonts w:ascii="Times New Roman" w:hAnsi="Times New Roman"/>
          <w:sz w:val="24"/>
          <w:szCs w:val="24"/>
        </w:rPr>
        <w:t>that</w:t>
      </w:r>
      <w:r w:rsidR="001B7D90">
        <w:rPr>
          <w:rFonts w:ascii="Times New Roman" w:hAnsi="Times New Roman"/>
          <w:sz w:val="24"/>
          <w:szCs w:val="24"/>
        </w:rPr>
        <w:t xml:space="preserve"> polic</w:t>
      </w:r>
      <w:r w:rsidR="00B9015B">
        <w:rPr>
          <w:rFonts w:ascii="Times New Roman" w:hAnsi="Times New Roman"/>
          <w:sz w:val="24"/>
          <w:szCs w:val="24"/>
        </w:rPr>
        <w:t>e</w:t>
      </w:r>
      <w:r w:rsidR="001B7D90">
        <w:rPr>
          <w:rFonts w:ascii="Times New Roman" w:hAnsi="Times New Roman"/>
          <w:sz w:val="24"/>
          <w:szCs w:val="24"/>
        </w:rPr>
        <w:t xml:space="preserve"> shading effectively and thus help parties in their quest to solve the </w:t>
      </w:r>
      <w:r w:rsidR="00421767">
        <w:rPr>
          <w:rFonts w:ascii="Times New Roman" w:hAnsi="Times New Roman"/>
          <w:sz w:val="24"/>
          <w:szCs w:val="24"/>
        </w:rPr>
        <w:t>Goldilocks problem.</w:t>
      </w:r>
    </w:p>
    <w:p w14:paraId="4243A36D" w14:textId="77777777" w:rsidR="001C3140" w:rsidRDefault="001C3140" w:rsidP="00C366FA">
      <w:pPr>
        <w:pStyle w:val="Document"/>
        <w:spacing w:line="360" w:lineRule="auto"/>
        <w:rPr>
          <w:rFonts w:ascii="Times New Roman" w:hAnsi="Times New Roman"/>
          <w:sz w:val="24"/>
          <w:szCs w:val="24"/>
        </w:rPr>
      </w:pPr>
    </w:p>
    <w:p w14:paraId="680A18DF" w14:textId="77777777" w:rsidR="006004B0" w:rsidRPr="00F3433E" w:rsidRDefault="006004B0" w:rsidP="00C366FA">
      <w:pPr>
        <w:pStyle w:val="Document"/>
        <w:spacing w:line="360" w:lineRule="auto"/>
        <w:rPr>
          <w:rFonts w:ascii="Times New Roman" w:hAnsi="Times New Roman"/>
          <w:sz w:val="24"/>
          <w:szCs w:val="24"/>
        </w:rPr>
      </w:pPr>
    </w:p>
    <w:p w14:paraId="29804502" w14:textId="09133E24" w:rsidR="00003CEF" w:rsidRPr="001C3140" w:rsidRDefault="001C3140" w:rsidP="00663E8D">
      <w:pPr>
        <w:tabs>
          <w:tab w:val="left" w:pos="0"/>
          <w:tab w:val="center" w:pos="4680"/>
          <w:tab w:val="left" w:pos="5040"/>
          <w:tab w:val="left" w:pos="5760"/>
          <w:tab w:val="left" w:pos="6480"/>
          <w:tab w:val="left" w:pos="7200"/>
          <w:tab w:val="left" w:pos="7920"/>
          <w:tab w:val="left" w:pos="8636"/>
          <w:tab w:val="right" w:pos="9360"/>
        </w:tabs>
        <w:spacing w:after="180" w:line="360" w:lineRule="auto"/>
        <w:ind w:firstLine="720"/>
        <w:jc w:val="center"/>
        <w:rPr>
          <w:rFonts w:ascii="Times New Roman" w:hAnsi="Times New Roman" w:cs="Times New Roman"/>
          <w:smallCaps/>
        </w:rPr>
      </w:pPr>
      <w:r w:rsidRPr="001C3140">
        <w:rPr>
          <w:rFonts w:ascii="Times New Roman" w:hAnsi="Times New Roman" w:cs="Times New Roman"/>
          <w:b/>
          <w:smallCaps/>
        </w:rPr>
        <w:t>Conclusion</w:t>
      </w:r>
    </w:p>
    <w:p w14:paraId="039FDC5C" w14:textId="227B3BC4" w:rsidR="007B721E" w:rsidRDefault="001E4A48" w:rsidP="00F3433E">
      <w:pPr>
        <w:spacing w:line="360" w:lineRule="auto"/>
        <w:ind w:firstLine="720"/>
        <w:rPr>
          <w:rFonts w:ascii="Times New Roman" w:hAnsi="Times New Roman" w:cs="Times New Roman"/>
        </w:rPr>
      </w:pPr>
      <w:r w:rsidRPr="00F3433E">
        <w:rPr>
          <w:rFonts w:ascii="Times New Roman" w:hAnsi="Times New Roman" w:cs="Times New Roman"/>
        </w:rPr>
        <w:t>The</w:t>
      </w:r>
      <w:r w:rsidR="00B9015B">
        <w:rPr>
          <w:rFonts w:ascii="Times New Roman" w:hAnsi="Times New Roman" w:cs="Times New Roman"/>
        </w:rPr>
        <w:t xml:space="preserve"> </w:t>
      </w:r>
      <w:r w:rsidR="00421767">
        <w:rPr>
          <w:rFonts w:ascii="Times New Roman" w:hAnsi="Times New Roman" w:cs="Times New Roman"/>
        </w:rPr>
        <w:t xml:space="preserve">preceding </w:t>
      </w:r>
      <w:r w:rsidR="00421767" w:rsidRPr="00F3433E">
        <w:rPr>
          <w:rFonts w:ascii="Times New Roman" w:hAnsi="Times New Roman" w:cs="Times New Roman"/>
        </w:rPr>
        <w:t>discussion</w:t>
      </w:r>
      <w:r w:rsidR="001C3140">
        <w:rPr>
          <w:rFonts w:ascii="Times New Roman" w:hAnsi="Times New Roman" w:cs="Times New Roman"/>
        </w:rPr>
        <w:t xml:space="preserve"> is</w:t>
      </w:r>
      <w:r w:rsidRPr="00F3433E">
        <w:rPr>
          <w:rFonts w:ascii="Times New Roman" w:hAnsi="Times New Roman" w:cs="Times New Roman"/>
        </w:rPr>
        <w:t xml:space="preserve"> only illustrative of </w:t>
      </w:r>
      <w:r w:rsidR="0037082E" w:rsidRPr="00F3433E">
        <w:rPr>
          <w:rFonts w:ascii="Times New Roman" w:hAnsi="Times New Roman" w:cs="Times New Roman"/>
        </w:rPr>
        <w:t xml:space="preserve">the </w:t>
      </w:r>
      <w:r w:rsidRPr="00F3433E">
        <w:rPr>
          <w:rFonts w:ascii="Times New Roman" w:hAnsi="Times New Roman" w:cs="Times New Roman"/>
        </w:rPr>
        <w:t xml:space="preserve">many variations in contract design </w:t>
      </w:r>
      <w:r w:rsidR="00CA108F" w:rsidRPr="00F3433E">
        <w:rPr>
          <w:rFonts w:ascii="Times New Roman" w:hAnsi="Times New Roman" w:cs="Times New Roman"/>
        </w:rPr>
        <w:t xml:space="preserve">where </w:t>
      </w:r>
      <w:r w:rsidR="006004B0">
        <w:rPr>
          <w:rFonts w:ascii="Times New Roman" w:hAnsi="Times New Roman" w:cs="Times New Roman"/>
        </w:rPr>
        <w:t xml:space="preserve">commercial parties </w:t>
      </w:r>
      <w:r w:rsidR="00CA108F" w:rsidRPr="00F3433E">
        <w:rPr>
          <w:rFonts w:ascii="Times New Roman" w:hAnsi="Times New Roman" w:cs="Times New Roman"/>
        </w:rPr>
        <w:t xml:space="preserve">have </w:t>
      </w:r>
      <w:r w:rsidR="0027049B">
        <w:rPr>
          <w:rFonts w:ascii="Times New Roman" w:hAnsi="Times New Roman" w:cs="Times New Roman"/>
        </w:rPr>
        <w:t xml:space="preserve">sought to </w:t>
      </w:r>
      <w:r w:rsidR="006004B0">
        <w:rPr>
          <w:rFonts w:ascii="Times New Roman" w:hAnsi="Times New Roman" w:cs="Times New Roman"/>
        </w:rPr>
        <w:t xml:space="preserve">mark out </w:t>
      </w:r>
      <w:r w:rsidR="0027049B">
        <w:rPr>
          <w:rFonts w:ascii="Times New Roman" w:hAnsi="Times New Roman" w:cs="Times New Roman"/>
        </w:rPr>
        <w:t xml:space="preserve">the courts’ role in the interpretive process. </w:t>
      </w:r>
      <w:r w:rsidR="006004B0">
        <w:rPr>
          <w:rFonts w:ascii="Times New Roman" w:hAnsi="Times New Roman" w:cs="Times New Roman"/>
        </w:rPr>
        <w:t xml:space="preserve"> </w:t>
      </w:r>
      <w:r w:rsidR="00CA108F" w:rsidRPr="00F3433E">
        <w:rPr>
          <w:rFonts w:ascii="Times New Roman" w:hAnsi="Times New Roman" w:cs="Times New Roman"/>
        </w:rPr>
        <w:t xml:space="preserve">Contract scholars can aid this process by undertaking </w:t>
      </w:r>
      <w:r w:rsidR="00900A28" w:rsidRPr="00F3433E">
        <w:rPr>
          <w:rFonts w:ascii="Times New Roman" w:hAnsi="Times New Roman" w:cs="Times New Roman"/>
        </w:rPr>
        <w:t xml:space="preserve">further </w:t>
      </w:r>
      <w:r w:rsidRPr="00F3433E">
        <w:rPr>
          <w:rFonts w:ascii="Times New Roman" w:hAnsi="Times New Roman" w:cs="Times New Roman"/>
        </w:rPr>
        <w:t>empirical</w:t>
      </w:r>
      <w:r w:rsidR="005B4C87" w:rsidRPr="00F3433E">
        <w:rPr>
          <w:rFonts w:ascii="Times New Roman" w:hAnsi="Times New Roman" w:cs="Times New Roman"/>
        </w:rPr>
        <w:t xml:space="preserve"> investigation</w:t>
      </w:r>
      <w:r w:rsidR="004461A7" w:rsidRPr="00F3433E">
        <w:rPr>
          <w:rFonts w:ascii="Times New Roman" w:hAnsi="Times New Roman" w:cs="Times New Roman"/>
        </w:rPr>
        <w:t>s</w:t>
      </w:r>
      <w:r w:rsidRPr="00F3433E">
        <w:rPr>
          <w:rFonts w:ascii="Times New Roman" w:hAnsi="Times New Roman" w:cs="Times New Roman"/>
        </w:rPr>
        <w:t xml:space="preserve">: </w:t>
      </w:r>
      <w:r w:rsidR="005B4C87" w:rsidRPr="00F3433E">
        <w:rPr>
          <w:rFonts w:ascii="Times New Roman" w:hAnsi="Times New Roman" w:cs="Times New Roman"/>
        </w:rPr>
        <w:t xml:space="preserve"> the </w:t>
      </w:r>
      <w:r w:rsidR="005D2C5A" w:rsidRPr="00F3433E">
        <w:rPr>
          <w:rFonts w:ascii="Times New Roman" w:hAnsi="Times New Roman" w:cs="Times New Roman"/>
        </w:rPr>
        <w:t xml:space="preserve">central idea </w:t>
      </w:r>
      <w:r w:rsidR="005B4C87" w:rsidRPr="00F3433E">
        <w:rPr>
          <w:rFonts w:ascii="Times New Roman" w:hAnsi="Times New Roman" w:cs="Times New Roman"/>
        </w:rPr>
        <w:t>is</w:t>
      </w:r>
      <w:r w:rsidRPr="00F3433E">
        <w:rPr>
          <w:rFonts w:ascii="Times New Roman" w:hAnsi="Times New Roman" w:cs="Times New Roman"/>
        </w:rPr>
        <w:t xml:space="preserve"> that </w:t>
      </w:r>
      <w:r w:rsidR="0093411E" w:rsidRPr="00F3433E">
        <w:rPr>
          <w:rFonts w:ascii="Times New Roman" w:hAnsi="Times New Roman" w:cs="Times New Roman"/>
        </w:rPr>
        <w:t xml:space="preserve">the level of uncertainty and the thickness of the relevant market will </w:t>
      </w:r>
      <w:r w:rsidR="005B4C87" w:rsidRPr="00F3433E">
        <w:rPr>
          <w:rFonts w:ascii="Times New Roman" w:hAnsi="Times New Roman" w:cs="Times New Roman"/>
        </w:rPr>
        <w:t>determine</w:t>
      </w:r>
      <w:r w:rsidR="0093411E" w:rsidRPr="00F3433E">
        <w:rPr>
          <w:rFonts w:ascii="Times New Roman" w:hAnsi="Times New Roman" w:cs="Times New Roman"/>
        </w:rPr>
        <w:t xml:space="preserve"> the range of design strategies that are found in contemporary commercial transactions. </w:t>
      </w:r>
      <w:r w:rsidR="0037082E" w:rsidRPr="00F3433E">
        <w:rPr>
          <w:rFonts w:ascii="Times New Roman" w:hAnsi="Times New Roman" w:cs="Times New Roman"/>
        </w:rPr>
        <w:t xml:space="preserve"> </w:t>
      </w:r>
      <w:r w:rsidR="0093411E" w:rsidRPr="00F3433E">
        <w:rPr>
          <w:rFonts w:ascii="Times New Roman" w:hAnsi="Times New Roman" w:cs="Times New Roman"/>
        </w:rPr>
        <w:t xml:space="preserve">In each of these cases, </w:t>
      </w:r>
      <w:r w:rsidR="00996318">
        <w:rPr>
          <w:rFonts w:ascii="Times New Roman" w:hAnsi="Times New Roman" w:cs="Times New Roman"/>
        </w:rPr>
        <w:t>my</w:t>
      </w:r>
      <w:r w:rsidR="00900A28" w:rsidRPr="00F3433E">
        <w:rPr>
          <w:rFonts w:ascii="Times New Roman" w:hAnsi="Times New Roman" w:cs="Times New Roman"/>
        </w:rPr>
        <w:t xml:space="preserve"> analysis suggests that </w:t>
      </w:r>
      <w:r w:rsidR="0027049B">
        <w:rPr>
          <w:rFonts w:ascii="Times New Roman" w:hAnsi="Times New Roman" w:cs="Times New Roman"/>
        </w:rPr>
        <w:t xml:space="preserve">a primary objective </w:t>
      </w:r>
      <w:r w:rsidR="004461A7" w:rsidRPr="00F3433E">
        <w:rPr>
          <w:rFonts w:ascii="Times New Roman" w:hAnsi="Times New Roman" w:cs="Times New Roman"/>
        </w:rPr>
        <w:t xml:space="preserve">is to </w:t>
      </w:r>
      <w:r w:rsidR="005D2C5A" w:rsidRPr="00F3433E">
        <w:rPr>
          <w:rFonts w:ascii="Times New Roman" w:hAnsi="Times New Roman" w:cs="Times New Roman"/>
        </w:rPr>
        <w:t xml:space="preserve">design </w:t>
      </w:r>
      <w:r w:rsidR="004461A7" w:rsidRPr="00F3433E">
        <w:rPr>
          <w:rFonts w:ascii="Times New Roman" w:hAnsi="Times New Roman" w:cs="Times New Roman"/>
        </w:rPr>
        <w:t>a</w:t>
      </w:r>
      <w:r w:rsidR="005D2C5A" w:rsidRPr="00F3433E">
        <w:rPr>
          <w:rFonts w:ascii="Times New Roman" w:hAnsi="Times New Roman" w:cs="Times New Roman"/>
        </w:rPr>
        <w:t xml:space="preserve"> contract</w:t>
      </w:r>
      <w:r w:rsidR="0093411E" w:rsidRPr="00F3433E">
        <w:rPr>
          <w:rFonts w:ascii="Times New Roman" w:hAnsi="Times New Roman" w:cs="Times New Roman"/>
        </w:rPr>
        <w:t xml:space="preserve"> </w:t>
      </w:r>
      <w:r w:rsidR="004461A7" w:rsidRPr="00F3433E">
        <w:rPr>
          <w:rFonts w:ascii="Times New Roman" w:hAnsi="Times New Roman" w:cs="Times New Roman"/>
        </w:rPr>
        <w:t xml:space="preserve">that </w:t>
      </w:r>
      <w:r w:rsidR="0093411E" w:rsidRPr="00F3433E">
        <w:rPr>
          <w:rFonts w:ascii="Times New Roman" w:hAnsi="Times New Roman" w:cs="Times New Roman"/>
        </w:rPr>
        <w:t xml:space="preserve">meshes with </w:t>
      </w:r>
      <w:r w:rsidR="0037082E" w:rsidRPr="00F3433E">
        <w:rPr>
          <w:rFonts w:ascii="Times New Roman" w:hAnsi="Times New Roman" w:cs="Times New Roman"/>
        </w:rPr>
        <w:t xml:space="preserve">the </w:t>
      </w:r>
      <w:r w:rsidR="0093411E" w:rsidRPr="00F3433E">
        <w:rPr>
          <w:rFonts w:ascii="Times New Roman" w:hAnsi="Times New Roman" w:cs="Times New Roman"/>
        </w:rPr>
        <w:t>relational or informal enforcem</w:t>
      </w:r>
      <w:r w:rsidR="0093411E">
        <w:rPr>
          <w:rFonts w:ascii="Times New Roman" w:hAnsi="Times New Roman" w:cs="Times New Roman"/>
        </w:rPr>
        <w:t>ent that the context provides</w:t>
      </w:r>
      <w:r w:rsidR="00743D2F">
        <w:rPr>
          <w:rFonts w:ascii="Times New Roman" w:hAnsi="Times New Roman" w:cs="Times New Roman"/>
        </w:rPr>
        <w:t xml:space="preserve"> and </w:t>
      </w:r>
      <w:r w:rsidR="004461A7">
        <w:rPr>
          <w:rFonts w:ascii="Times New Roman" w:hAnsi="Times New Roman" w:cs="Times New Roman"/>
        </w:rPr>
        <w:t xml:space="preserve">thereby </w:t>
      </w:r>
      <w:r w:rsidR="00743D2F">
        <w:rPr>
          <w:rFonts w:ascii="Times New Roman" w:hAnsi="Times New Roman" w:cs="Times New Roman"/>
        </w:rPr>
        <w:t xml:space="preserve">serves to </w:t>
      </w:r>
      <w:r w:rsidR="005B4C87">
        <w:rPr>
          <w:rFonts w:ascii="Times New Roman" w:hAnsi="Times New Roman" w:cs="Times New Roman"/>
        </w:rPr>
        <w:t xml:space="preserve">cabin the role of the </w:t>
      </w:r>
      <w:r w:rsidR="00743D2F">
        <w:rPr>
          <w:rFonts w:ascii="Times New Roman" w:hAnsi="Times New Roman" w:cs="Times New Roman"/>
        </w:rPr>
        <w:t xml:space="preserve">decision maker </w:t>
      </w:r>
      <w:r w:rsidR="005B4C87">
        <w:rPr>
          <w:rFonts w:ascii="Times New Roman" w:hAnsi="Times New Roman" w:cs="Times New Roman"/>
        </w:rPr>
        <w:t xml:space="preserve">tasked with </w:t>
      </w:r>
      <w:r w:rsidR="00743D2F">
        <w:rPr>
          <w:rFonts w:ascii="Times New Roman" w:hAnsi="Times New Roman" w:cs="Times New Roman"/>
        </w:rPr>
        <w:t>polic</w:t>
      </w:r>
      <w:r w:rsidR="005B4C87">
        <w:rPr>
          <w:rFonts w:ascii="Times New Roman" w:hAnsi="Times New Roman" w:cs="Times New Roman"/>
        </w:rPr>
        <w:t>ing</w:t>
      </w:r>
      <w:r w:rsidR="00743D2F">
        <w:rPr>
          <w:rFonts w:ascii="Times New Roman" w:hAnsi="Times New Roman" w:cs="Times New Roman"/>
        </w:rPr>
        <w:t xml:space="preserve"> </w:t>
      </w:r>
      <w:r w:rsidR="005B4C87">
        <w:rPr>
          <w:rFonts w:ascii="Times New Roman" w:hAnsi="Times New Roman" w:cs="Times New Roman"/>
        </w:rPr>
        <w:t xml:space="preserve">difficult to verify </w:t>
      </w:r>
      <w:r w:rsidR="00743D2F">
        <w:rPr>
          <w:rFonts w:ascii="Times New Roman" w:hAnsi="Times New Roman" w:cs="Times New Roman"/>
        </w:rPr>
        <w:t>shading</w:t>
      </w:r>
      <w:r w:rsidR="005B4C87">
        <w:rPr>
          <w:rFonts w:ascii="Times New Roman" w:hAnsi="Times New Roman" w:cs="Times New Roman"/>
        </w:rPr>
        <w:t xml:space="preserve"> behavior</w:t>
      </w:r>
      <w:r w:rsidR="00546B5E">
        <w:rPr>
          <w:rFonts w:ascii="Times New Roman" w:hAnsi="Times New Roman" w:cs="Times New Roman"/>
        </w:rPr>
        <w:t>.</w:t>
      </w:r>
    </w:p>
    <w:p w14:paraId="601D33EA" w14:textId="6464D14D" w:rsidR="008A1BB9" w:rsidRDefault="008A1BB9" w:rsidP="008A1BB9">
      <w:pPr>
        <w:spacing w:line="360" w:lineRule="auto"/>
        <w:ind w:firstLine="720"/>
        <w:rPr>
          <w:rFonts w:ascii="Times New Roman" w:hAnsi="Times New Roman" w:cs="Times New Roman"/>
          <w:b/>
        </w:rPr>
      </w:pPr>
      <w:r>
        <w:rPr>
          <w:rFonts w:ascii="Times New Roman" w:hAnsi="Times New Roman" w:cs="Times New Roman"/>
          <w:b/>
        </w:rPr>
        <w:t xml:space="preserve">                                       </w:t>
      </w:r>
    </w:p>
    <w:p w14:paraId="027F8659" w14:textId="2664D1CF" w:rsidR="00A936F4" w:rsidRDefault="00A936F4" w:rsidP="00A936F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720"/>
        <w:rPr>
          <w:rFonts w:ascii="Times New Roman" w:hAnsi="Times New Roman" w:cs="Times New Roman"/>
        </w:rPr>
      </w:pPr>
      <w:r w:rsidRPr="0017404D">
        <w:rPr>
          <w:rFonts w:ascii="Times New Roman" w:hAnsi="Times New Roman" w:cs="Times New Roman"/>
          <w:bCs/>
          <w:iCs/>
        </w:rPr>
        <w:t xml:space="preserve">Contracting parties must be able to count on the state’s enforcement monopoly if they are confidently to rely on </w:t>
      </w:r>
      <w:r>
        <w:rPr>
          <w:rFonts w:ascii="Times New Roman" w:hAnsi="Times New Roman" w:cs="Times New Roman"/>
          <w:bCs/>
          <w:iCs/>
        </w:rPr>
        <w:t xml:space="preserve">the </w:t>
      </w:r>
      <w:r w:rsidRPr="0017404D">
        <w:rPr>
          <w:rFonts w:ascii="Times New Roman" w:hAnsi="Times New Roman" w:cs="Times New Roman"/>
          <w:bCs/>
          <w:iCs/>
        </w:rPr>
        <w:t>novel forms of agreement</w:t>
      </w:r>
      <w:r>
        <w:rPr>
          <w:rFonts w:ascii="Times New Roman" w:hAnsi="Times New Roman" w:cs="Times New Roman"/>
          <w:bCs/>
          <w:iCs/>
        </w:rPr>
        <w:t xml:space="preserve"> afforded by the relevant design space</w:t>
      </w:r>
      <w:r w:rsidRPr="0017404D">
        <w:rPr>
          <w:rFonts w:ascii="Times New Roman" w:hAnsi="Times New Roman" w:cs="Times New Roman"/>
          <w:bCs/>
          <w:iCs/>
        </w:rPr>
        <w:t xml:space="preserve">. </w:t>
      </w:r>
      <w:r>
        <w:rPr>
          <w:rFonts w:ascii="Times New Roman" w:hAnsi="Times New Roman" w:cs="Times New Roman"/>
          <w:bCs/>
          <w:iCs/>
        </w:rPr>
        <w:t xml:space="preserve"> </w:t>
      </w:r>
      <w:r w:rsidRPr="0017404D">
        <w:rPr>
          <w:rFonts w:ascii="Times New Roman" w:hAnsi="Times New Roman" w:cs="Times New Roman"/>
        </w:rPr>
        <w:t xml:space="preserve">Ideally, generalist courts should respond to </w:t>
      </w:r>
      <w:r>
        <w:rPr>
          <w:rFonts w:ascii="Times New Roman" w:hAnsi="Times New Roman" w:cs="Times New Roman"/>
        </w:rPr>
        <w:t xml:space="preserve">novel contract designs </w:t>
      </w:r>
      <w:r w:rsidRPr="0017404D">
        <w:rPr>
          <w:rFonts w:ascii="Times New Roman" w:hAnsi="Times New Roman" w:cs="Times New Roman"/>
        </w:rPr>
        <w:t xml:space="preserve">by enforcing the chosen methods of mutual cooperation on terms consistent with the arrangements themselves. A court’s ability to achieve this consistency will depend very generally on (a) its expertise in the domain of </w:t>
      </w:r>
      <w:r>
        <w:rPr>
          <w:rFonts w:ascii="Times New Roman" w:hAnsi="Times New Roman" w:cs="Times New Roman"/>
        </w:rPr>
        <w:t>the contract</w:t>
      </w:r>
      <w:r w:rsidRPr="0017404D">
        <w:rPr>
          <w:rFonts w:ascii="Times New Roman" w:hAnsi="Times New Roman" w:cs="Times New Roman"/>
        </w:rPr>
        <w:t>, (b) the conspicuousness of the</w:t>
      </w:r>
      <w:r w:rsidR="005C13F3">
        <w:rPr>
          <w:rFonts w:ascii="Times New Roman" w:hAnsi="Times New Roman" w:cs="Times New Roman"/>
        </w:rPr>
        <w:t xml:space="preserve"> </w:t>
      </w:r>
      <w:proofErr w:type="gramStart"/>
      <w:r w:rsidR="005C13F3">
        <w:rPr>
          <w:rFonts w:ascii="Times New Roman" w:hAnsi="Times New Roman" w:cs="Times New Roman"/>
        </w:rPr>
        <w:t xml:space="preserve">particular </w:t>
      </w:r>
      <w:r w:rsidRPr="0017404D">
        <w:rPr>
          <w:rFonts w:ascii="Times New Roman" w:hAnsi="Times New Roman" w:cs="Times New Roman"/>
        </w:rPr>
        <w:t xml:space="preserve"> </w:t>
      </w:r>
      <w:r>
        <w:rPr>
          <w:rFonts w:ascii="Times New Roman" w:hAnsi="Times New Roman" w:cs="Times New Roman"/>
        </w:rPr>
        <w:t>contractual</w:t>
      </w:r>
      <w:proofErr w:type="gramEnd"/>
      <w:r>
        <w:rPr>
          <w:rFonts w:ascii="Times New Roman" w:hAnsi="Times New Roman" w:cs="Times New Roman"/>
        </w:rPr>
        <w:t xml:space="preserve"> </w:t>
      </w:r>
      <w:r w:rsidRPr="0017404D">
        <w:rPr>
          <w:rFonts w:ascii="Times New Roman" w:hAnsi="Times New Roman" w:cs="Times New Roman"/>
        </w:rPr>
        <w:t xml:space="preserve">regime (i.e., the salience of the industry codes or other markers that indicate to outsiders that insiders have given distinctive meaning and effect to </w:t>
      </w:r>
      <w:r w:rsidR="005C13F3">
        <w:rPr>
          <w:rFonts w:ascii="Times New Roman" w:hAnsi="Times New Roman" w:cs="Times New Roman"/>
        </w:rPr>
        <w:t>strategies for coping with shading</w:t>
      </w:r>
      <w:r w:rsidRPr="0017404D">
        <w:rPr>
          <w:rFonts w:ascii="Times New Roman" w:hAnsi="Times New Roman" w:cs="Times New Roman"/>
        </w:rPr>
        <w:t xml:space="preserve">), and (c) the extent to which the court respects the purposes and values to which the regime is dedicated. </w:t>
      </w:r>
    </w:p>
    <w:p w14:paraId="7151A5D3" w14:textId="77777777" w:rsidR="00A936F4" w:rsidRPr="0017404D" w:rsidRDefault="00A936F4" w:rsidP="00A936F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left="-720" w:firstLine="720"/>
        <w:rPr>
          <w:rFonts w:ascii="Times New Roman" w:hAnsi="Times New Roman" w:cs="Times New Roman"/>
        </w:rPr>
      </w:pPr>
    </w:p>
    <w:p w14:paraId="638BBE3C" w14:textId="2CFEA429" w:rsidR="00A936F4" w:rsidRDefault="00A936F4" w:rsidP="00A936F4">
      <w:pPr>
        <w:pStyle w:val="FootnoteText"/>
      </w:pPr>
    </w:p>
    <w:p w14:paraId="31215446" w14:textId="7D4307AF" w:rsidR="00546B5E" w:rsidRPr="008A1B1D" w:rsidRDefault="00546B5E" w:rsidP="008A1B1D">
      <w:pPr>
        <w:spacing w:line="360" w:lineRule="auto"/>
        <w:ind w:firstLine="720"/>
        <w:rPr>
          <w:rFonts w:ascii="Times New Roman" w:hAnsi="Times New Roman" w:cs="Times New Roman"/>
        </w:rPr>
      </w:pPr>
      <w:r w:rsidRPr="003F513F">
        <w:rPr>
          <w:rFonts w:ascii="Times New Roman" w:hAnsi="Times New Roman" w:cs="Times New Roman"/>
          <w:bCs/>
          <w:color w:val="000000"/>
        </w:rPr>
        <w:lastRenderedPageBreak/>
        <w:t xml:space="preserve"> The role of generalist courts </w:t>
      </w:r>
      <w:r w:rsidR="005C13F3">
        <w:rPr>
          <w:rFonts w:ascii="Times New Roman" w:hAnsi="Times New Roman" w:cs="Times New Roman"/>
          <w:bCs/>
          <w:color w:val="000000"/>
        </w:rPr>
        <w:t xml:space="preserve">thus </w:t>
      </w:r>
      <w:r w:rsidRPr="00CF674B">
        <w:rPr>
          <w:rFonts w:ascii="Times New Roman" w:hAnsi="Times New Roman" w:cs="Times New Roman"/>
        </w:rPr>
        <w:t>will</w:t>
      </w:r>
      <w:r>
        <w:rPr>
          <w:rFonts w:ascii="Times New Roman" w:hAnsi="Times New Roman" w:cs="Times New Roman"/>
        </w:rPr>
        <w:t xml:space="preserve"> </w:t>
      </w:r>
      <w:r w:rsidRPr="006A6B87">
        <w:rPr>
          <w:rFonts w:ascii="Times New Roman" w:hAnsi="Times New Roman" w:cs="Times New Roman"/>
        </w:rPr>
        <w:t xml:space="preserve">differ across the </w:t>
      </w:r>
      <w:r w:rsidR="00E55AA5">
        <w:rPr>
          <w:rFonts w:ascii="Times New Roman" w:hAnsi="Times New Roman" w:cs="Times New Roman"/>
        </w:rPr>
        <w:t>various dimensions I have outlined</w:t>
      </w:r>
      <w:r w:rsidRPr="004645BA">
        <w:rPr>
          <w:rFonts w:ascii="Times New Roman" w:hAnsi="Times New Roman" w:cs="Times New Roman"/>
        </w:rPr>
        <w:t xml:space="preserve">, but in all </w:t>
      </w:r>
      <w:r w:rsidR="003D2E51">
        <w:rPr>
          <w:rFonts w:ascii="Times New Roman" w:hAnsi="Times New Roman" w:cs="Times New Roman"/>
        </w:rPr>
        <w:t xml:space="preserve">events it </w:t>
      </w:r>
      <w:r w:rsidRPr="004645BA">
        <w:rPr>
          <w:rFonts w:ascii="Times New Roman" w:hAnsi="Times New Roman" w:cs="Times New Roman"/>
        </w:rPr>
        <w:t xml:space="preserve">will be more restricted than the standard account under which the court is </w:t>
      </w:r>
      <w:r w:rsidR="00E55AA5">
        <w:rPr>
          <w:rFonts w:ascii="Times New Roman" w:hAnsi="Times New Roman" w:cs="Times New Roman"/>
        </w:rPr>
        <w:t xml:space="preserve">supposed to fit </w:t>
      </w:r>
      <w:r w:rsidR="00423360">
        <w:rPr>
          <w:rFonts w:ascii="Times New Roman" w:hAnsi="Times New Roman" w:cs="Times New Roman"/>
        </w:rPr>
        <w:t xml:space="preserve">quite different </w:t>
      </w:r>
      <w:r w:rsidR="00E55AA5">
        <w:rPr>
          <w:rFonts w:ascii="Times New Roman" w:hAnsi="Times New Roman" w:cs="Times New Roman"/>
        </w:rPr>
        <w:t>forms of contracting</w:t>
      </w:r>
      <w:r w:rsidRPr="004645BA">
        <w:rPr>
          <w:rFonts w:ascii="Times New Roman" w:hAnsi="Times New Roman" w:cs="Times New Roman"/>
        </w:rPr>
        <w:t xml:space="preserve"> into the traditional </w:t>
      </w:r>
      <w:r w:rsidR="0027049B">
        <w:rPr>
          <w:rFonts w:ascii="Times New Roman" w:hAnsi="Times New Roman" w:cs="Times New Roman"/>
        </w:rPr>
        <w:t xml:space="preserve">doctrinal </w:t>
      </w:r>
      <w:r w:rsidR="00996318">
        <w:rPr>
          <w:rFonts w:ascii="Times New Roman" w:hAnsi="Times New Roman" w:cs="Times New Roman"/>
        </w:rPr>
        <w:t xml:space="preserve">categories of </w:t>
      </w:r>
      <w:r w:rsidRPr="004645BA">
        <w:rPr>
          <w:rFonts w:ascii="Times New Roman" w:hAnsi="Times New Roman" w:cs="Times New Roman"/>
        </w:rPr>
        <w:t>common law contract</w:t>
      </w:r>
      <w:r>
        <w:rPr>
          <w:rFonts w:ascii="Times New Roman" w:hAnsi="Times New Roman" w:cs="Times New Roman"/>
        </w:rPr>
        <w:t>.</w:t>
      </w:r>
      <w:r w:rsidR="008A1B1D">
        <w:rPr>
          <w:rFonts w:ascii="Times New Roman" w:hAnsi="Times New Roman" w:cs="Times New Roman"/>
        </w:rPr>
        <w:t xml:space="preserve"> </w:t>
      </w:r>
      <w:r w:rsidRPr="004645BA">
        <w:rPr>
          <w:rFonts w:ascii="Times New Roman" w:hAnsi="Times New Roman" w:cs="Times New Roman"/>
        </w:rPr>
        <w:t xml:space="preserve"> </w:t>
      </w:r>
      <w:r w:rsidRPr="003F513F">
        <w:rPr>
          <w:rFonts w:ascii="Times New Roman" w:hAnsi="Times New Roman" w:cs="Times New Roman"/>
          <w:bCs/>
          <w:color w:val="000000"/>
        </w:rPr>
        <w:t xml:space="preserve">If a central goal of contract adjudication is to enforce the </w:t>
      </w:r>
      <w:r>
        <w:rPr>
          <w:rFonts w:ascii="Times New Roman" w:hAnsi="Times New Roman" w:cs="Times New Roman"/>
          <w:bCs/>
          <w:color w:val="000000"/>
        </w:rPr>
        <w:t xml:space="preserve">contract </w:t>
      </w:r>
      <w:r w:rsidRPr="003F513F">
        <w:rPr>
          <w:rFonts w:ascii="Times New Roman" w:hAnsi="Times New Roman" w:cs="Times New Roman"/>
          <w:bCs/>
          <w:color w:val="000000"/>
        </w:rPr>
        <w:t>that the parties have provided, then the courts’</w:t>
      </w:r>
      <w:r w:rsidR="00E55AA5">
        <w:rPr>
          <w:rFonts w:ascii="Times New Roman" w:hAnsi="Times New Roman" w:cs="Times New Roman"/>
          <w:bCs/>
          <w:color w:val="000000"/>
        </w:rPr>
        <w:t xml:space="preserve"> need to</w:t>
      </w:r>
      <w:r w:rsidRPr="003F513F">
        <w:rPr>
          <w:rFonts w:ascii="Times New Roman" w:hAnsi="Times New Roman" w:cs="Times New Roman"/>
          <w:bCs/>
          <w:color w:val="000000"/>
        </w:rPr>
        <w:t xml:space="preserve"> </w:t>
      </w:r>
      <w:r w:rsidR="00D46040">
        <w:rPr>
          <w:rFonts w:ascii="Times New Roman" w:hAnsi="Times New Roman" w:cs="Times New Roman"/>
          <w:bCs/>
          <w:color w:val="000000"/>
        </w:rPr>
        <w:t xml:space="preserve">accept the role that </w:t>
      </w:r>
      <w:r w:rsidR="00484B9C">
        <w:rPr>
          <w:rFonts w:ascii="Times New Roman" w:hAnsi="Times New Roman" w:cs="Times New Roman"/>
          <w:bCs/>
          <w:color w:val="000000"/>
        </w:rPr>
        <w:t xml:space="preserve">the parties </w:t>
      </w:r>
      <w:r w:rsidR="00E55AA5">
        <w:rPr>
          <w:rFonts w:ascii="Times New Roman" w:hAnsi="Times New Roman" w:cs="Times New Roman"/>
          <w:bCs/>
          <w:color w:val="000000"/>
        </w:rPr>
        <w:t xml:space="preserve">have </w:t>
      </w:r>
      <w:r w:rsidR="00484B9C">
        <w:rPr>
          <w:rFonts w:ascii="Times New Roman" w:hAnsi="Times New Roman" w:cs="Times New Roman"/>
          <w:bCs/>
          <w:color w:val="000000"/>
        </w:rPr>
        <w:t>give</w:t>
      </w:r>
      <w:r w:rsidR="00E55AA5">
        <w:rPr>
          <w:rFonts w:ascii="Times New Roman" w:hAnsi="Times New Roman" w:cs="Times New Roman"/>
          <w:bCs/>
          <w:color w:val="000000"/>
        </w:rPr>
        <w:t>n</w:t>
      </w:r>
      <w:r w:rsidR="00484B9C">
        <w:rPr>
          <w:rFonts w:ascii="Times New Roman" w:hAnsi="Times New Roman" w:cs="Times New Roman"/>
          <w:bCs/>
          <w:color w:val="000000"/>
        </w:rPr>
        <w:t xml:space="preserve"> them</w:t>
      </w:r>
      <w:r w:rsidR="00E55AA5">
        <w:rPr>
          <w:rFonts w:ascii="Times New Roman" w:hAnsi="Times New Roman" w:cs="Times New Roman"/>
          <w:bCs/>
          <w:color w:val="000000"/>
        </w:rPr>
        <w:t>.</w:t>
      </w:r>
      <w:r w:rsidRPr="003F513F">
        <w:rPr>
          <w:rFonts w:ascii="Times New Roman" w:hAnsi="Times New Roman" w:cs="Times New Roman"/>
          <w:bCs/>
          <w:color w:val="000000"/>
        </w:rPr>
        <w:t xml:space="preserve"> To do that, both judges and contract theorists </w:t>
      </w:r>
      <w:r w:rsidR="00D46040">
        <w:rPr>
          <w:rFonts w:ascii="Times New Roman" w:hAnsi="Times New Roman" w:cs="Times New Roman"/>
          <w:bCs/>
          <w:color w:val="000000"/>
        </w:rPr>
        <w:t>must</w:t>
      </w:r>
      <w:r w:rsidRPr="003F513F">
        <w:rPr>
          <w:rFonts w:ascii="Times New Roman" w:hAnsi="Times New Roman" w:cs="Times New Roman"/>
          <w:bCs/>
          <w:color w:val="000000"/>
        </w:rPr>
        <w:t xml:space="preserve"> attend to the unique characteristics of </w:t>
      </w:r>
      <w:r w:rsidR="00E55AA5">
        <w:rPr>
          <w:rFonts w:ascii="Times New Roman" w:hAnsi="Times New Roman" w:cs="Times New Roman"/>
          <w:bCs/>
          <w:color w:val="000000"/>
        </w:rPr>
        <w:t xml:space="preserve">the </w:t>
      </w:r>
      <w:r w:rsidRPr="003F513F">
        <w:rPr>
          <w:rFonts w:ascii="Times New Roman" w:hAnsi="Times New Roman" w:cs="Times New Roman"/>
          <w:bCs/>
          <w:color w:val="000000"/>
        </w:rPr>
        <w:t>contract</w:t>
      </w:r>
      <w:r w:rsidR="00E55AA5">
        <w:rPr>
          <w:rFonts w:ascii="Times New Roman" w:hAnsi="Times New Roman" w:cs="Times New Roman"/>
          <w:bCs/>
          <w:color w:val="000000"/>
        </w:rPr>
        <w:t xml:space="preserve">s currently being designed by </w:t>
      </w:r>
      <w:r w:rsidR="00423360">
        <w:rPr>
          <w:rFonts w:ascii="Times New Roman" w:hAnsi="Times New Roman" w:cs="Times New Roman"/>
          <w:bCs/>
          <w:color w:val="000000"/>
        </w:rPr>
        <w:t>sophisticate</w:t>
      </w:r>
      <w:r w:rsidR="006004B0">
        <w:rPr>
          <w:rFonts w:ascii="Times New Roman" w:hAnsi="Times New Roman" w:cs="Times New Roman"/>
          <w:bCs/>
          <w:color w:val="000000"/>
        </w:rPr>
        <w:t>d</w:t>
      </w:r>
      <w:r w:rsidR="00423360">
        <w:rPr>
          <w:rFonts w:ascii="Times New Roman" w:hAnsi="Times New Roman" w:cs="Times New Roman"/>
          <w:bCs/>
          <w:color w:val="000000"/>
        </w:rPr>
        <w:t xml:space="preserve"> parties</w:t>
      </w:r>
      <w:r w:rsidR="006004B0">
        <w:rPr>
          <w:rFonts w:ascii="Times New Roman" w:hAnsi="Times New Roman" w:cs="Times New Roman"/>
          <w:bCs/>
          <w:color w:val="000000"/>
        </w:rPr>
        <w:t>.</w:t>
      </w:r>
      <w:r w:rsidR="00423360">
        <w:rPr>
          <w:rFonts w:ascii="Times New Roman" w:hAnsi="Times New Roman" w:cs="Times New Roman"/>
        </w:rPr>
        <w:t xml:space="preserve">  </w:t>
      </w:r>
      <w:r w:rsidR="00D46040">
        <w:rPr>
          <w:rFonts w:ascii="Times New Roman" w:hAnsi="Times New Roman" w:cs="Times New Roman"/>
        </w:rPr>
        <w:t>Here</w:t>
      </w:r>
      <w:r w:rsidR="00996318">
        <w:rPr>
          <w:rFonts w:ascii="Times New Roman" w:hAnsi="Times New Roman" w:cs="Times New Roman"/>
        </w:rPr>
        <w:t xml:space="preserve"> </w:t>
      </w:r>
      <w:r w:rsidRPr="003F513F">
        <w:rPr>
          <w:rFonts w:ascii="Times New Roman" w:hAnsi="Times New Roman" w:cs="Times New Roman"/>
        </w:rPr>
        <w:t>courts must practice the passive virtues</w:t>
      </w:r>
      <w:r w:rsidR="008A1B1D">
        <w:rPr>
          <w:rFonts w:ascii="Times New Roman" w:hAnsi="Times New Roman" w:cs="Times New Roman"/>
        </w:rPr>
        <w:t xml:space="preserve"> because it is the parties, </w:t>
      </w:r>
      <w:r w:rsidR="005C13F3">
        <w:rPr>
          <w:rFonts w:ascii="Times New Roman" w:hAnsi="Times New Roman" w:cs="Times New Roman"/>
        </w:rPr>
        <w:t xml:space="preserve">and </w:t>
      </w:r>
      <w:r w:rsidR="008A1B1D">
        <w:rPr>
          <w:rFonts w:ascii="Times New Roman" w:hAnsi="Times New Roman" w:cs="Times New Roman"/>
        </w:rPr>
        <w:t>not the courts</w:t>
      </w:r>
      <w:r w:rsidR="00D46040">
        <w:rPr>
          <w:rFonts w:ascii="Times New Roman" w:hAnsi="Times New Roman" w:cs="Times New Roman"/>
        </w:rPr>
        <w:t xml:space="preserve">, </w:t>
      </w:r>
      <w:r w:rsidR="008A1B1D">
        <w:rPr>
          <w:rFonts w:ascii="Times New Roman" w:hAnsi="Times New Roman" w:cs="Times New Roman"/>
        </w:rPr>
        <w:t>that</w:t>
      </w:r>
      <w:r w:rsidRPr="003F513F">
        <w:rPr>
          <w:rFonts w:ascii="Times New Roman" w:hAnsi="Times New Roman" w:cs="Times New Roman"/>
        </w:rPr>
        <w:t xml:space="preserve"> </w:t>
      </w:r>
      <w:r w:rsidR="00423360">
        <w:rPr>
          <w:rFonts w:ascii="Times New Roman" w:hAnsi="Times New Roman" w:cs="Times New Roman"/>
        </w:rPr>
        <w:t>reduce the risks of opportunism in contract adjudication.</w:t>
      </w:r>
    </w:p>
    <w:p w14:paraId="66AABE7F" w14:textId="77777777" w:rsidR="00546B5E" w:rsidRDefault="00546B5E" w:rsidP="00546B5E">
      <w:pPr>
        <w:spacing w:line="360" w:lineRule="auto"/>
        <w:rPr>
          <w:rFonts w:ascii="Times New Roman" w:hAnsi="Times New Roman" w:cs="Times New Roman"/>
          <w:b/>
          <w:bCs/>
          <w:color w:val="000000"/>
        </w:rPr>
      </w:pPr>
    </w:p>
    <w:p w14:paraId="0ABE72DF" w14:textId="77777777" w:rsidR="001C3140" w:rsidRDefault="001C3140" w:rsidP="00546B5E">
      <w:pPr>
        <w:spacing w:line="360" w:lineRule="auto"/>
        <w:rPr>
          <w:rFonts w:ascii="Times New Roman" w:hAnsi="Times New Roman" w:cs="Times New Roman"/>
          <w:b/>
          <w:bCs/>
          <w:color w:val="000000"/>
        </w:rPr>
      </w:pPr>
    </w:p>
    <w:p w14:paraId="4749826B" w14:textId="77777777" w:rsidR="001C3140" w:rsidRDefault="001C3140" w:rsidP="00546B5E">
      <w:pPr>
        <w:spacing w:line="360" w:lineRule="auto"/>
        <w:rPr>
          <w:rFonts w:ascii="Times New Roman" w:hAnsi="Times New Roman" w:cs="Times New Roman"/>
          <w:b/>
          <w:bCs/>
          <w:color w:val="000000"/>
        </w:rPr>
      </w:pPr>
    </w:p>
    <w:p w14:paraId="6A1D1F8E" w14:textId="77777777" w:rsidR="001C3140" w:rsidRDefault="001C3140" w:rsidP="00546B5E">
      <w:pPr>
        <w:spacing w:line="360" w:lineRule="auto"/>
        <w:rPr>
          <w:rFonts w:ascii="Times New Roman" w:hAnsi="Times New Roman" w:cs="Times New Roman"/>
          <w:b/>
          <w:bCs/>
          <w:color w:val="000000"/>
        </w:rPr>
      </w:pPr>
    </w:p>
    <w:p w14:paraId="1EB5DDB0" w14:textId="77777777" w:rsidR="001E7DF3" w:rsidRDefault="001E7DF3" w:rsidP="00546B5E">
      <w:pPr>
        <w:spacing w:line="360" w:lineRule="auto"/>
        <w:rPr>
          <w:rFonts w:ascii="Times New Roman" w:hAnsi="Times New Roman" w:cs="Times New Roman"/>
          <w:b/>
          <w:bCs/>
          <w:color w:val="000000"/>
        </w:rPr>
      </w:pPr>
    </w:p>
    <w:p w14:paraId="42067DE8" w14:textId="77777777" w:rsidR="001E7DF3" w:rsidRDefault="001E7DF3" w:rsidP="00546B5E">
      <w:pPr>
        <w:spacing w:line="360" w:lineRule="auto"/>
        <w:rPr>
          <w:rFonts w:ascii="Times New Roman" w:hAnsi="Times New Roman" w:cs="Times New Roman"/>
          <w:b/>
          <w:bCs/>
          <w:color w:val="000000"/>
        </w:rPr>
      </w:pPr>
    </w:p>
    <w:p w14:paraId="0E190660" w14:textId="77777777" w:rsidR="001E7DF3" w:rsidRDefault="001E7DF3" w:rsidP="00546B5E">
      <w:pPr>
        <w:spacing w:line="360" w:lineRule="auto"/>
        <w:rPr>
          <w:rFonts w:ascii="Times New Roman" w:hAnsi="Times New Roman" w:cs="Times New Roman"/>
          <w:b/>
          <w:bCs/>
          <w:color w:val="000000"/>
        </w:rPr>
      </w:pPr>
    </w:p>
    <w:p w14:paraId="71164339" w14:textId="77777777" w:rsidR="001E7DF3" w:rsidRDefault="001E7DF3" w:rsidP="00546B5E">
      <w:pPr>
        <w:spacing w:line="360" w:lineRule="auto"/>
        <w:rPr>
          <w:rFonts w:ascii="Times New Roman" w:hAnsi="Times New Roman" w:cs="Times New Roman"/>
          <w:b/>
          <w:bCs/>
          <w:color w:val="000000"/>
        </w:rPr>
      </w:pPr>
    </w:p>
    <w:p w14:paraId="7E1DE44E" w14:textId="77777777" w:rsidR="001E7DF3" w:rsidRDefault="001E7DF3" w:rsidP="00546B5E">
      <w:pPr>
        <w:spacing w:line="360" w:lineRule="auto"/>
        <w:rPr>
          <w:rFonts w:ascii="Times New Roman" w:hAnsi="Times New Roman" w:cs="Times New Roman"/>
          <w:b/>
          <w:bCs/>
          <w:color w:val="000000"/>
        </w:rPr>
      </w:pPr>
    </w:p>
    <w:p w14:paraId="5BCC7540" w14:textId="77777777" w:rsidR="001E7DF3" w:rsidRDefault="001E7DF3" w:rsidP="00546B5E">
      <w:pPr>
        <w:spacing w:line="360" w:lineRule="auto"/>
        <w:rPr>
          <w:rFonts w:ascii="Times New Roman" w:hAnsi="Times New Roman" w:cs="Times New Roman"/>
          <w:b/>
          <w:bCs/>
          <w:color w:val="000000"/>
        </w:rPr>
      </w:pPr>
    </w:p>
    <w:p w14:paraId="08AA31BB" w14:textId="77777777" w:rsidR="00A1412B" w:rsidRDefault="00A1412B" w:rsidP="00546B5E">
      <w:pPr>
        <w:spacing w:line="360" w:lineRule="auto"/>
        <w:rPr>
          <w:rFonts w:ascii="Times New Roman" w:hAnsi="Times New Roman" w:cs="Times New Roman"/>
          <w:b/>
          <w:bCs/>
          <w:color w:val="000000"/>
        </w:rPr>
      </w:pPr>
    </w:p>
    <w:p w14:paraId="044287E9" w14:textId="77777777" w:rsidR="00A1412B" w:rsidRDefault="00A1412B" w:rsidP="00546B5E">
      <w:pPr>
        <w:spacing w:line="360" w:lineRule="auto"/>
        <w:rPr>
          <w:rFonts w:ascii="Times New Roman" w:hAnsi="Times New Roman" w:cs="Times New Roman"/>
          <w:b/>
          <w:bCs/>
          <w:color w:val="000000"/>
        </w:rPr>
      </w:pPr>
    </w:p>
    <w:p w14:paraId="0764B93C" w14:textId="77777777" w:rsidR="00A1412B" w:rsidRDefault="00A1412B" w:rsidP="00546B5E">
      <w:pPr>
        <w:spacing w:line="360" w:lineRule="auto"/>
        <w:rPr>
          <w:rFonts w:ascii="Times New Roman" w:hAnsi="Times New Roman" w:cs="Times New Roman"/>
          <w:b/>
          <w:bCs/>
          <w:color w:val="000000"/>
        </w:rPr>
      </w:pPr>
    </w:p>
    <w:p w14:paraId="3E22E021" w14:textId="77777777" w:rsidR="00A1412B" w:rsidRDefault="00A1412B" w:rsidP="00546B5E">
      <w:pPr>
        <w:spacing w:line="360" w:lineRule="auto"/>
        <w:rPr>
          <w:rFonts w:ascii="Times New Roman" w:hAnsi="Times New Roman" w:cs="Times New Roman"/>
          <w:b/>
          <w:bCs/>
          <w:color w:val="000000"/>
        </w:rPr>
      </w:pPr>
    </w:p>
    <w:p w14:paraId="5AFD27B4" w14:textId="77777777" w:rsidR="00A1412B" w:rsidRDefault="00A1412B" w:rsidP="00546B5E">
      <w:pPr>
        <w:spacing w:line="360" w:lineRule="auto"/>
        <w:rPr>
          <w:rFonts w:ascii="Times New Roman" w:hAnsi="Times New Roman" w:cs="Times New Roman"/>
          <w:b/>
          <w:bCs/>
          <w:color w:val="000000"/>
        </w:rPr>
      </w:pPr>
    </w:p>
    <w:p w14:paraId="3CE91CCD" w14:textId="77777777" w:rsidR="00A1412B" w:rsidRDefault="00A1412B" w:rsidP="00546B5E">
      <w:pPr>
        <w:spacing w:line="360" w:lineRule="auto"/>
        <w:rPr>
          <w:rFonts w:ascii="Times New Roman" w:hAnsi="Times New Roman" w:cs="Times New Roman"/>
          <w:b/>
          <w:bCs/>
          <w:color w:val="000000"/>
        </w:rPr>
      </w:pPr>
    </w:p>
    <w:p w14:paraId="5602BA57" w14:textId="77777777" w:rsidR="00A1412B" w:rsidRDefault="00A1412B" w:rsidP="00546B5E">
      <w:pPr>
        <w:spacing w:line="360" w:lineRule="auto"/>
        <w:rPr>
          <w:rFonts w:ascii="Times New Roman" w:hAnsi="Times New Roman" w:cs="Times New Roman"/>
          <w:b/>
          <w:bCs/>
          <w:color w:val="000000"/>
        </w:rPr>
      </w:pPr>
    </w:p>
    <w:p w14:paraId="41B37B97" w14:textId="77777777" w:rsidR="00A1412B" w:rsidRDefault="00A1412B" w:rsidP="00546B5E">
      <w:pPr>
        <w:spacing w:line="360" w:lineRule="auto"/>
        <w:rPr>
          <w:rFonts w:ascii="Times New Roman" w:hAnsi="Times New Roman" w:cs="Times New Roman"/>
          <w:b/>
          <w:bCs/>
          <w:color w:val="000000"/>
        </w:rPr>
      </w:pPr>
    </w:p>
    <w:p w14:paraId="1D991D7C" w14:textId="77777777" w:rsidR="00A1412B" w:rsidRDefault="00A1412B" w:rsidP="00546B5E">
      <w:pPr>
        <w:spacing w:line="360" w:lineRule="auto"/>
        <w:rPr>
          <w:rFonts w:ascii="Times New Roman" w:hAnsi="Times New Roman" w:cs="Times New Roman"/>
          <w:b/>
          <w:bCs/>
          <w:color w:val="000000"/>
        </w:rPr>
      </w:pPr>
    </w:p>
    <w:p w14:paraId="160CD86B" w14:textId="77777777" w:rsidR="00A1412B" w:rsidRDefault="00A1412B" w:rsidP="00546B5E">
      <w:pPr>
        <w:spacing w:line="360" w:lineRule="auto"/>
        <w:rPr>
          <w:rFonts w:ascii="Times New Roman" w:hAnsi="Times New Roman" w:cs="Times New Roman"/>
          <w:b/>
          <w:bCs/>
          <w:color w:val="000000"/>
        </w:rPr>
      </w:pPr>
    </w:p>
    <w:p w14:paraId="05D74775" w14:textId="77777777" w:rsidR="00A1412B" w:rsidRDefault="00A1412B" w:rsidP="00546B5E">
      <w:pPr>
        <w:spacing w:line="360" w:lineRule="auto"/>
        <w:rPr>
          <w:rFonts w:ascii="Times New Roman" w:hAnsi="Times New Roman" w:cs="Times New Roman"/>
          <w:b/>
          <w:bCs/>
          <w:color w:val="000000"/>
        </w:rPr>
      </w:pPr>
    </w:p>
    <w:p w14:paraId="2EDD0B07" w14:textId="77777777" w:rsidR="00A1412B" w:rsidRDefault="00A1412B" w:rsidP="00546B5E">
      <w:pPr>
        <w:spacing w:line="360" w:lineRule="auto"/>
        <w:rPr>
          <w:rFonts w:ascii="Times New Roman" w:hAnsi="Times New Roman" w:cs="Times New Roman"/>
          <w:b/>
          <w:bCs/>
          <w:color w:val="000000"/>
        </w:rPr>
      </w:pPr>
    </w:p>
    <w:p w14:paraId="68E9C0F1" w14:textId="591C1E81" w:rsidR="00D07091" w:rsidRPr="00663E8D" w:rsidRDefault="005C13F3" w:rsidP="00D07091">
      <w:pPr>
        <w:spacing w:line="360" w:lineRule="auto"/>
        <w:jc w:val="center"/>
        <w:rPr>
          <w:rFonts w:ascii="Times New Roman" w:hAnsi="Times New Roman" w:cs="Times New Roman"/>
          <w:b/>
          <w:bCs/>
          <w:smallCaps/>
          <w:color w:val="000000"/>
        </w:rPr>
      </w:pPr>
      <w:r>
        <w:rPr>
          <w:rFonts w:ascii="Times New Roman" w:hAnsi="Times New Roman" w:cs="Times New Roman"/>
          <w:b/>
          <w:bCs/>
          <w:smallCaps/>
          <w:color w:val="000000"/>
        </w:rPr>
        <w:lastRenderedPageBreak/>
        <w:t>A</w:t>
      </w:r>
      <w:r w:rsidR="00D07091" w:rsidRPr="00663E8D">
        <w:rPr>
          <w:rFonts w:ascii="Times New Roman" w:hAnsi="Times New Roman" w:cs="Times New Roman"/>
          <w:b/>
          <w:bCs/>
          <w:smallCaps/>
          <w:color w:val="000000"/>
        </w:rPr>
        <w:t>ppendix A</w:t>
      </w:r>
    </w:p>
    <w:p w14:paraId="03A558C7" w14:textId="77777777" w:rsidR="00663E8D" w:rsidRPr="00663E8D" w:rsidRDefault="00663E8D" w:rsidP="00D07091">
      <w:pPr>
        <w:spacing w:line="360" w:lineRule="auto"/>
        <w:jc w:val="center"/>
        <w:rPr>
          <w:rFonts w:ascii="Times New Roman" w:hAnsi="Times New Roman" w:cs="Times New Roman"/>
          <w:b/>
          <w:bCs/>
          <w:caps/>
          <w:color w:val="000000"/>
        </w:rPr>
      </w:pPr>
    </w:p>
    <w:p w14:paraId="44AA596F"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Lor</w:t>
      </w:r>
      <w:proofErr w:type="spellEnd"/>
      <w:r w:rsidRPr="0037768A">
        <w:rPr>
          <w:rFonts w:ascii="Times New Roman" w:hAnsi="Times New Roman" w:cs="Times New Roman"/>
          <w:bCs/>
          <w:color w:val="000000"/>
        </w:rPr>
        <w:t xml:space="preserve"> Productions, Inc. v. Valley Music Hall, Inc., 447 F.2d 1010 (10th Cir. 1971).</w:t>
      </w:r>
      <w:proofErr w:type="gramEnd"/>
      <w:r w:rsidRPr="0037768A">
        <w:rPr>
          <w:rFonts w:ascii="Times New Roman" w:hAnsi="Times New Roman" w:cs="Times New Roman"/>
          <w:bCs/>
          <w:color w:val="000000"/>
        </w:rPr>
        <w:t xml:space="preserve"> </w:t>
      </w:r>
    </w:p>
    <w:p w14:paraId="5635CF97"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Sitkiewicz</w:t>
      </w:r>
      <w:proofErr w:type="spellEnd"/>
      <w:r w:rsidRPr="0037768A">
        <w:rPr>
          <w:rFonts w:ascii="Times New Roman" w:hAnsi="Times New Roman" w:cs="Times New Roman"/>
          <w:bCs/>
          <w:color w:val="000000"/>
        </w:rPr>
        <w:t xml:space="preserve"> v. County of Sullivan, 681 N.Y.S.2d 677 (N.Y. App. Div. 1998).</w:t>
      </w:r>
      <w:proofErr w:type="gramEnd"/>
    </w:p>
    <w:p w14:paraId="6969ACA5"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Alpine </w:t>
      </w:r>
      <w:proofErr w:type="spellStart"/>
      <w:r w:rsidRPr="0037768A">
        <w:rPr>
          <w:rFonts w:ascii="Times New Roman" w:hAnsi="Times New Roman" w:cs="Times New Roman"/>
          <w:bCs/>
          <w:color w:val="000000"/>
        </w:rPr>
        <w:t>Orthopaedic</w:t>
      </w:r>
      <w:proofErr w:type="spellEnd"/>
      <w:r w:rsidRPr="0037768A">
        <w:rPr>
          <w:rFonts w:ascii="Times New Roman" w:hAnsi="Times New Roman" w:cs="Times New Roman"/>
          <w:bCs/>
          <w:color w:val="000000"/>
        </w:rPr>
        <w:t xml:space="preserve"> Specialists, LLC v. Utah State University, 263 P.3d 501 (Utah Ct. App. 2011).</w:t>
      </w:r>
      <w:proofErr w:type="gramEnd"/>
    </w:p>
    <w:p w14:paraId="16111926"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LJL Transp., Inc. v. Pilot Air Freight Corp., 962 A.2d 639 (Pa. 2009).</w:t>
      </w:r>
      <w:proofErr w:type="gramEnd"/>
      <w:r w:rsidRPr="0037768A">
        <w:rPr>
          <w:rFonts w:ascii="Times New Roman" w:hAnsi="Times New Roman" w:cs="Times New Roman"/>
          <w:bCs/>
          <w:color w:val="000000"/>
        </w:rPr>
        <w:t xml:space="preserve"> </w:t>
      </w:r>
    </w:p>
    <w:p w14:paraId="28FE8D2A"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Averill v. Gleaner Life Ins. Soc., 626 F. Supp. 2d 756 (N.D. Ohio 2009).</w:t>
      </w:r>
      <w:proofErr w:type="gramEnd"/>
    </w:p>
    <w:p w14:paraId="487A4D3D"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Rees v. Johnson, 191 Ill. App. 182 (Ill. App. Ct. 1915).</w:t>
      </w:r>
      <w:proofErr w:type="gramEnd"/>
    </w:p>
    <w:p w14:paraId="16F1F3DB"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Reichelt</w:t>
      </w:r>
      <w:proofErr w:type="spellEnd"/>
      <w:r w:rsidRPr="0037768A">
        <w:rPr>
          <w:rFonts w:ascii="Times New Roman" w:hAnsi="Times New Roman" w:cs="Times New Roman"/>
          <w:bCs/>
          <w:color w:val="000000"/>
        </w:rPr>
        <w:t xml:space="preserve"> v. Urban Inv. and Development Co., 611 F. Supp. 952 (N.D. Ill. 1985).</w:t>
      </w:r>
      <w:proofErr w:type="gramEnd"/>
      <w:r w:rsidRPr="0037768A">
        <w:rPr>
          <w:rFonts w:ascii="Times New Roman" w:hAnsi="Times New Roman" w:cs="Times New Roman"/>
          <w:bCs/>
          <w:color w:val="000000"/>
        </w:rPr>
        <w:t xml:space="preserve"> </w:t>
      </w:r>
    </w:p>
    <w:p w14:paraId="5B24D21A"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In re Health Risk Management, Inc., 319 B.R. 181 (</w:t>
      </w:r>
      <w:proofErr w:type="spellStart"/>
      <w:r w:rsidRPr="0037768A">
        <w:rPr>
          <w:rFonts w:ascii="Times New Roman" w:hAnsi="Times New Roman" w:cs="Times New Roman"/>
          <w:bCs/>
          <w:color w:val="000000"/>
        </w:rPr>
        <w:t>Bankr</w:t>
      </w:r>
      <w:proofErr w:type="spellEnd"/>
      <w:r w:rsidRPr="0037768A">
        <w:rPr>
          <w:rFonts w:ascii="Times New Roman" w:hAnsi="Times New Roman" w:cs="Times New Roman"/>
          <w:bCs/>
          <w:color w:val="000000"/>
        </w:rPr>
        <w:t>.</w:t>
      </w:r>
      <w:proofErr w:type="gramEnd"/>
      <w:r w:rsidRPr="0037768A">
        <w:rPr>
          <w:rFonts w:ascii="Times New Roman" w:hAnsi="Times New Roman" w:cs="Times New Roman"/>
          <w:bCs/>
          <w:color w:val="000000"/>
        </w:rPr>
        <w:t xml:space="preserve"> D. Minn. 2005).</w:t>
      </w:r>
    </w:p>
    <w:p w14:paraId="2E9D1C78"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Kirby </w:t>
      </w:r>
      <w:proofErr w:type="spellStart"/>
      <w:r w:rsidRPr="0037768A">
        <w:rPr>
          <w:rFonts w:ascii="Times New Roman" w:hAnsi="Times New Roman" w:cs="Times New Roman"/>
          <w:bCs/>
          <w:color w:val="000000"/>
        </w:rPr>
        <w:t>McInerney</w:t>
      </w:r>
      <w:proofErr w:type="spellEnd"/>
      <w:r w:rsidRPr="0037768A">
        <w:rPr>
          <w:rFonts w:ascii="Times New Roman" w:hAnsi="Times New Roman" w:cs="Times New Roman"/>
          <w:bCs/>
          <w:color w:val="000000"/>
        </w:rPr>
        <w:t xml:space="preserve"> &amp; Squire, LLP v. Hall </w:t>
      </w:r>
      <w:proofErr w:type="spellStart"/>
      <w:r w:rsidRPr="0037768A">
        <w:rPr>
          <w:rFonts w:ascii="Times New Roman" w:hAnsi="Times New Roman" w:cs="Times New Roman"/>
          <w:bCs/>
          <w:color w:val="000000"/>
        </w:rPr>
        <w:t>Charne</w:t>
      </w:r>
      <w:proofErr w:type="spellEnd"/>
      <w:r w:rsidRPr="0037768A">
        <w:rPr>
          <w:rFonts w:ascii="Times New Roman" w:hAnsi="Times New Roman" w:cs="Times New Roman"/>
          <w:bCs/>
          <w:color w:val="000000"/>
        </w:rPr>
        <w:t xml:space="preserve"> </w:t>
      </w:r>
      <w:proofErr w:type="spellStart"/>
      <w:r w:rsidRPr="0037768A">
        <w:rPr>
          <w:rFonts w:ascii="Times New Roman" w:hAnsi="Times New Roman" w:cs="Times New Roman"/>
          <w:bCs/>
          <w:color w:val="000000"/>
        </w:rPr>
        <w:t>Burce</w:t>
      </w:r>
      <w:proofErr w:type="spellEnd"/>
      <w:r w:rsidRPr="0037768A">
        <w:rPr>
          <w:rFonts w:ascii="Times New Roman" w:hAnsi="Times New Roman" w:cs="Times New Roman"/>
          <w:bCs/>
          <w:color w:val="000000"/>
        </w:rPr>
        <w:t xml:space="preserve"> &amp; Olson, S.C., 790 N.Y.S.2d 84 (N.Y. App. Div. 2005).</w:t>
      </w:r>
      <w:proofErr w:type="gramEnd"/>
    </w:p>
    <w:p w14:paraId="5C59E615"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Donovan v. RRL Corp., 27 P.3d 70 (Cal. 2001).</w:t>
      </w:r>
      <w:proofErr w:type="gramEnd"/>
    </w:p>
    <w:p w14:paraId="7FDCA032"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r w:rsidRPr="0037768A">
        <w:rPr>
          <w:rFonts w:ascii="Times New Roman" w:hAnsi="Times New Roman" w:cs="Times New Roman"/>
          <w:bCs/>
          <w:color w:val="000000"/>
        </w:rPr>
        <w:t>Bollenback</w:t>
      </w:r>
      <w:proofErr w:type="spellEnd"/>
      <w:r w:rsidRPr="0037768A">
        <w:rPr>
          <w:rFonts w:ascii="Times New Roman" w:hAnsi="Times New Roman" w:cs="Times New Roman"/>
          <w:bCs/>
          <w:color w:val="000000"/>
        </w:rPr>
        <w:t xml:space="preserve"> v. Continental </w:t>
      </w:r>
      <w:proofErr w:type="spellStart"/>
      <w:proofErr w:type="gramStart"/>
      <w:r w:rsidRPr="0037768A">
        <w:rPr>
          <w:rFonts w:ascii="Times New Roman" w:hAnsi="Times New Roman" w:cs="Times New Roman"/>
          <w:bCs/>
          <w:color w:val="000000"/>
        </w:rPr>
        <w:t>Cas</w:t>
      </w:r>
      <w:proofErr w:type="spellEnd"/>
      <w:proofErr w:type="gramEnd"/>
      <w:r w:rsidRPr="0037768A">
        <w:rPr>
          <w:rFonts w:ascii="Times New Roman" w:hAnsi="Times New Roman" w:cs="Times New Roman"/>
          <w:bCs/>
          <w:color w:val="000000"/>
        </w:rPr>
        <w:t xml:space="preserve">. </w:t>
      </w:r>
      <w:proofErr w:type="gramStart"/>
      <w:r w:rsidRPr="0037768A">
        <w:rPr>
          <w:rFonts w:ascii="Times New Roman" w:hAnsi="Times New Roman" w:cs="Times New Roman"/>
          <w:bCs/>
          <w:color w:val="000000"/>
        </w:rPr>
        <w:t>Co., 414 P.2d 802 (Or. 1966).</w:t>
      </w:r>
      <w:proofErr w:type="gramEnd"/>
    </w:p>
    <w:p w14:paraId="4DFAA5EF"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Firestone &amp; Parson, Inc. v. Union League of Philadelphia, 672 F. Supp. 819 (</w:t>
      </w:r>
      <w:proofErr w:type="spellStart"/>
      <w:r w:rsidRPr="0037768A">
        <w:rPr>
          <w:rFonts w:ascii="Times New Roman" w:hAnsi="Times New Roman" w:cs="Times New Roman"/>
          <w:bCs/>
          <w:color w:val="000000"/>
        </w:rPr>
        <w:t>E.D.Pa</w:t>
      </w:r>
      <w:proofErr w:type="spellEnd"/>
      <w:r w:rsidRPr="0037768A">
        <w:rPr>
          <w:rFonts w:ascii="Times New Roman" w:hAnsi="Times New Roman" w:cs="Times New Roman"/>
          <w:bCs/>
          <w:color w:val="000000"/>
        </w:rPr>
        <w:t>. 1987).</w:t>
      </w:r>
      <w:proofErr w:type="gramEnd"/>
    </w:p>
    <w:p w14:paraId="23BCA0C3"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In re </w:t>
      </w:r>
      <w:proofErr w:type="spellStart"/>
      <w:r w:rsidRPr="0037768A">
        <w:rPr>
          <w:rFonts w:ascii="Times New Roman" w:hAnsi="Times New Roman" w:cs="Times New Roman"/>
          <w:bCs/>
          <w:color w:val="000000"/>
        </w:rPr>
        <w:t>Zellmer's</w:t>
      </w:r>
      <w:proofErr w:type="spellEnd"/>
      <w:r w:rsidRPr="0037768A">
        <w:rPr>
          <w:rFonts w:ascii="Times New Roman" w:hAnsi="Times New Roman" w:cs="Times New Roman"/>
          <w:bCs/>
          <w:color w:val="000000"/>
        </w:rPr>
        <w:t xml:space="preserve"> Estate, 82 N.W.2d 891 (Wis. 1957).</w:t>
      </w:r>
      <w:proofErr w:type="gramEnd"/>
    </w:p>
    <w:p w14:paraId="167011A3"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Mahrt</w:t>
      </w:r>
      <w:proofErr w:type="spellEnd"/>
      <w:r w:rsidRPr="0037768A">
        <w:rPr>
          <w:rFonts w:ascii="Times New Roman" w:hAnsi="Times New Roman" w:cs="Times New Roman"/>
          <w:bCs/>
          <w:color w:val="000000"/>
        </w:rPr>
        <w:t xml:space="preserve"> v. Mann, 210 N.W. 566 (Iowa 1926).</w:t>
      </w:r>
      <w:proofErr w:type="gramEnd"/>
    </w:p>
    <w:p w14:paraId="646167EA"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Ittel</w:t>
      </w:r>
      <w:proofErr w:type="spellEnd"/>
      <w:r w:rsidRPr="0037768A">
        <w:rPr>
          <w:rFonts w:ascii="Times New Roman" w:hAnsi="Times New Roman" w:cs="Times New Roman"/>
          <w:bCs/>
          <w:color w:val="000000"/>
        </w:rPr>
        <w:t xml:space="preserve"> v. </w:t>
      </w:r>
      <w:proofErr w:type="spellStart"/>
      <w:r w:rsidRPr="0037768A">
        <w:rPr>
          <w:rFonts w:ascii="Times New Roman" w:hAnsi="Times New Roman" w:cs="Times New Roman"/>
          <w:bCs/>
          <w:color w:val="000000"/>
        </w:rPr>
        <w:t>Pietig</w:t>
      </w:r>
      <w:proofErr w:type="spellEnd"/>
      <w:r w:rsidRPr="0037768A">
        <w:rPr>
          <w:rFonts w:ascii="Times New Roman" w:hAnsi="Times New Roman" w:cs="Times New Roman"/>
          <w:bCs/>
          <w:color w:val="000000"/>
        </w:rPr>
        <w:t>, 705 N.W.2d 203 (Minn. Ct. App. 2005).</w:t>
      </w:r>
      <w:proofErr w:type="gramEnd"/>
      <w:r w:rsidRPr="0037768A">
        <w:rPr>
          <w:rFonts w:ascii="Times New Roman" w:hAnsi="Times New Roman" w:cs="Times New Roman"/>
          <w:bCs/>
          <w:color w:val="000000"/>
        </w:rPr>
        <w:t xml:space="preserve"> </w:t>
      </w:r>
    </w:p>
    <w:p w14:paraId="07DC63B6"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Nappy v. Nappy, 836 N.Y.S.2d 256 (N.Y. App. Div. 2007).</w:t>
      </w:r>
      <w:proofErr w:type="gramEnd"/>
    </w:p>
    <w:p w14:paraId="2CE9FF94"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University Federal Credit Union v. Grayson, 878 So.2d 280 (Ala. 2003).</w:t>
      </w:r>
      <w:proofErr w:type="gramEnd"/>
    </w:p>
    <w:p w14:paraId="27FEAF07" w14:textId="77777777" w:rsidR="00663E8D" w:rsidRPr="0037768A" w:rsidRDefault="00663E8D" w:rsidP="00663E8D">
      <w:pPr>
        <w:spacing w:line="360" w:lineRule="auto"/>
        <w:ind w:left="720" w:hanging="720"/>
        <w:rPr>
          <w:rFonts w:ascii="Times New Roman" w:hAnsi="Times New Roman" w:cs="Times New Roman"/>
          <w:bCs/>
          <w:color w:val="000000"/>
        </w:rPr>
      </w:pPr>
      <w:r w:rsidRPr="0037768A">
        <w:rPr>
          <w:rFonts w:ascii="Times New Roman" w:hAnsi="Times New Roman" w:cs="Times New Roman"/>
          <w:bCs/>
          <w:color w:val="000000"/>
        </w:rPr>
        <w:t>Cannon v. Perry, 170 P.3d 393 (Idaho 2007).</w:t>
      </w:r>
    </w:p>
    <w:p w14:paraId="708D6659"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Bohler-Uddeholm</w:t>
      </w:r>
      <w:proofErr w:type="spellEnd"/>
      <w:r w:rsidRPr="0037768A">
        <w:rPr>
          <w:rFonts w:ascii="Times New Roman" w:hAnsi="Times New Roman" w:cs="Times New Roman"/>
          <w:bCs/>
          <w:color w:val="000000"/>
        </w:rPr>
        <w:t xml:space="preserve"> America, Inc. v. Ellwood Group, Inc., 247 F.3d 79 (3d Cir. 2001).</w:t>
      </w:r>
      <w:proofErr w:type="gramEnd"/>
      <w:r w:rsidRPr="0037768A">
        <w:rPr>
          <w:rFonts w:ascii="Times New Roman" w:hAnsi="Times New Roman" w:cs="Times New Roman"/>
          <w:bCs/>
          <w:color w:val="000000"/>
        </w:rPr>
        <w:t xml:space="preserve"> </w:t>
      </w:r>
    </w:p>
    <w:p w14:paraId="7B9C571E"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Friendswood Development Co. v. </w:t>
      </w:r>
      <w:proofErr w:type="spellStart"/>
      <w:r w:rsidRPr="0037768A">
        <w:rPr>
          <w:rFonts w:ascii="Times New Roman" w:hAnsi="Times New Roman" w:cs="Times New Roman"/>
          <w:bCs/>
          <w:color w:val="000000"/>
        </w:rPr>
        <w:t>McDade</w:t>
      </w:r>
      <w:proofErr w:type="spellEnd"/>
      <w:r w:rsidRPr="0037768A">
        <w:rPr>
          <w:rFonts w:ascii="Times New Roman" w:hAnsi="Times New Roman" w:cs="Times New Roman"/>
          <w:bCs/>
          <w:color w:val="000000"/>
        </w:rPr>
        <w:t xml:space="preserve"> &amp; Co., 926 S.W.2d 280 (Tex. 1996).</w:t>
      </w:r>
      <w:proofErr w:type="gramEnd"/>
      <w:r w:rsidRPr="0037768A">
        <w:rPr>
          <w:rFonts w:ascii="Times New Roman" w:hAnsi="Times New Roman" w:cs="Times New Roman"/>
          <w:bCs/>
          <w:color w:val="000000"/>
        </w:rPr>
        <w:t xml:space="preserve"> </w:t>
      </w:r>
    </w:p>
    <w:p w14:paraId="37C72497" w14:textId="77777777" w:rsidR="00663E8D" w:rsidRPr="0037768A" w:rsidRDefault="00663E8D" w:rsidP="00663E8D">
      <w:pPr>
        <w:spacing w:line="360" w:lineRule="auto"/>
        <w:ind w:left="720" w:hanging="720"/>
        <w:rPr>
          <w:rFonts w:ascii="Times New Roman" w:hAnsi="Times New Roman" w:cs="Times New Roman"/>
          <w:bCs/>
          <w:color w:val="000000"/>
        </w:rPr>
      </w:pPr>
      <w:r w:rsidRPr="0037768A">
        <w:rPr>
          <w:rFonts w:ascii="Times New Roman" w:hAnsi="Times New Roman" w:cs="Times New Roman"/>
          <w:bCs/>
          <w:color w:val="000000"/>
        </w:rPr>
        <w:t>Sunset Coatings Co., Inc. v. Oregon State Dept. of Transp. and Highway Div., 660 P.2d 164 (Or. Ct. App. 1983).</w:t>
      </w:r>
    </w:p>
    <w:p w14:paraId="6DD39716"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Rossetto</w:t>
      </w:r>
      <w:proofErr w:type="spellEnd"/>
      <w:r w:rsidRPr="0037768A">
        <w:rPr>
          <w:rFonts w:ascii="Times New Roman" w:hAnsi="Times New Roman" w:cs="Times New Roman"/>
          <w:bCs/>
          <w:color w:val="000000"/>
        </w:rPr>
        <w:t xml:space="preserve"> v. Pabst Brewing Co., Inc., 217 F.3d 539 (7th Cir. 2000).</w:t>
      </w:r>
      <w:proofErr w:type="gramEnd"/>
    </w:p>
    <w:p w14:paraId="695805D9"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Oppenheimer &amp; Co. Inc. v. Trans Energy, Inc., 946 F. Supp. 3d 343 (S.D.N.Y. 2013).</w:t>
      </w:r>
      <w:proofErr w:type="gramEnd"/>
    </w:p>
    <w:p w14:paraId="70E55488"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Kutche</w:t>
      </w:r>
      <w:proofErr w:type="spellEnd"/>
      <w:r w:rsidRPr="0037768A">
        <w:rPr>
          <w:rFonts w:ascii="Times New Roman" w:hAnsi="Times New Roman" w:cs="Times New Roman"/>
          <w:bCs/>
          <w:color w:val="000000"/>
        </w:rPr>
        <w:t xml:space="preserve"> Chevrolet-Oldsmobile-Pontiac-Buick, Inc. v. Anderson Banking Co., 597 N.E.2d 1307 (Ind. Ct. App. 1992).</w:t>
      </w:r>
      <w:proofErr w:type="gramEnd"/>
    </w:p>
    <w:p w14:paraId="28E8EB88"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lastRenderedPageBreak/>
        <w:t xml:space="preserve">Wider Consol., Inc. v. Tony </w:t>
      </w:r>
      <w:proofErr w:type="spellStart"/>
      <w:r w:rsidRPr="0037768A">
        <w:rPr>
          <w:rFonts w:ascii="Times New Roman" w:hAnsi="Times New Roman" w:cs="Times New Roman"/>
          <w:bCs/>
          <w:color w:val="000000"/>
        </w:rPr>
        <w:t>Melillo</w:t>
      </w:r>
      <w:proofErr w:type="spellEnd"/>
      <w:r w:rsidRPr="0037768A">
        <w:rPr>
          <w:rFonts w:ascii="Times New Roman" w:hAnsi="Times New Roman" w:cs="Times New Roman"/>
          <w:bCs/>
          <w:color w:val="000000"/>
        </w:rPr>
        <w:t>, LLC, 968 N.Y.S.2d 521 (N.Y. App. Div. 2013).</w:t>
      </w:r>
      <w:proofErr w:type="gramEnd"/>
      <w:r w:rsidRPr="0037768A">
        <w:rPr>
          <w:rFonts w:ascii="Times New Roman" w:hAnsi="Times New Roman" w:cs="Times New Roman"/>
          <w:bCs/>
          <w:color w:val="000000"/>
        </w:rPr>
        <w:t xml:space="preserve"> </w:t>
      </w:r>
    </w:p>
    <w:p w14:paraId="0AA07948" w14:textId="77777777" w:rsidR="00663E8D" w:rsidRPr="0037768A" w:rsidRDefault="00663E8D" w:rsidP="00663E8D">
      <w:pPr>
        <w:spacing w:line="360" w:lineRule="auto"/>
        <w:ind w:left="720" w:hanging="720"/>
        <w:rPr>
          <w:rFonts w:ascii="Times New Roman" w:hAnsi="Times New Roman" w:cs="Times New Roman"/>
          <w:bCs/>
          <w:color w:val="000000"/>
        </w:rPr>
      </w:pPr>
      <w:r w:rsidRPr="0037768A">
        <w:rPr>
          <w:rFonts w:ascii="Times New Roman" w:hAnsi="Times New Roman" w:cs="Times New Roman"/>
          <w:bCs/>
          <w:color w:val="000000"/>
        </w:rPr>
        <w:t xml:space="preserve">Hunt Const. Group, Inc. v. U.S., 48 Fed. Cl. 456 (Fed. </w:t>
      </w:r>
      <w:proofErr w:type="gramStart"/>
      <w:r w:rsidRPr="0037768A">
        <w:rPr>
          <w:rFonts w:ascii="Times New Roman" w:hAnsi="Times New Roman" w:cs="Times New Roman"/>
          <w:bCs/>
          <w:color w:val="000000"/>
        </w:rPr>
        <w:t>Cl. 2001).</w:t>
      </w:r>
      <w:proofErr w:type="gramEnd"/>
    </w:p>
    <w:p w14:paraId="49596D76"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Beach Street Bikes, Inc. v. </w:t>
      </w:r>
      <w:proofErr w:type="spellStart"/>
      <w:r w:rsidRPr="0037768A">
        <w:rPr>
          <w:rFonts w:ascii="Times New Roman" w:hAnsi="Times New Roman" w:cs="Times New Roman"/>
          <w:bCs/>
          <w:color w:val="000000"/>
        </w:rPr>
        <w:t>Bourgett's</w:t>
      </w:r>
      <w:proofErr w:type="spellEnd"/>
      <w:r w:rsidRPr="0037768A">
        <w:rPr>
          <w:rFonts w:ascii="Times New Roman" w:hAnsi="Times New Roman" w:cs="Times New Roman"/>
          <w:bCs/>
          <w:color w:val="000000"/>
        </w:rPr>
        <w:t xml:space="preserve"> Bike Works, Inc., 900 So.2d 697 (Fla. Dist. Ct. App. 2005).</w:t>
      </w:r>
      <w:proofErr w:type="gramEnd"/>
    </w:p>
    <w:p w14:paraId="06C92B73" w14:textId="77777777" w:rsidR="00663E8D" w:rsidRPr="0037768A" w:rsidRDefault="00663E8D" w:rsidP="00663E8D">
      <w:pPr>
        <w:spacing w:line="360" w:lineRule="auto"/>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DeJong</w:t>
      </w:r>
      <w:proofErr w:type="spellEnd"/>
      <w:r w:rsidRPr="0037768A">
        <w:rPr>
          <w:rFonts w:ascii="Times New Roman" w:hAnsi="Times New Roman" w:cs="Times New Roman"/>
          <w:bCs/>
          <w:color w:val="000000"/>
        </w:rPr>
        <w:t xml:space="preserve"> v. City of Sioux Center, 980 F. Supp. 1010 (N.D. Iowa 1997).</w:t>
      </w:r>
      <w:proofErr w:type="gramEnd"/>
    </w:p>
    <w:p w14:paraId="6E949D9C"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U.S. Neurosurgical, Inc. v. Midwest </w:t>
      </w:r>
      <w:proofErr w:type="spellStart"/>
      <w:r w:rsidRPr="0037768A">
        <w:rPr>
          <w:rFonts w:ascii="Times New Roman" w:hAnsi="Times New Roman" w:cs="Times New Roman"/>
          <w:bCs/>
          <w:color w:val="000000"/>
        </w:rPr>
        <w:t>Divison</w:t>
      </w:r>
      <w:proofErr w:type="spellEnd"/>
      <w:r w:rsidRPr="0037768A">
        <w:rPr>
          <w:rFonts w:ascii="Times New Roman" w:hAnsi="Times New Roman" w:cs="Times New Roman"/>
          <w:bCs/>
          <w:color w:val="000000"/>
        </w:rPr>
        <w:t>-RMC, LLC, 303 S.W.3d 660 (Mo. Ct. App. 2010).</w:t>
      </w:r>
      <w:proofErr w:type="gramEnd"/>
    </w:p>
    <w:p w14:paraId="566F6AC6"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r w:rsidRPr="0037768A">
        <w:rPr>
          <w:rFonts w:ascii="Times New Roman" w:hAnsi="Times New Roman" w:cs="Times New Roman"/>
          <w:bCs/>
          <w:color w:val="000000"/>
        </w:rPr>
        <w:t>Buol</w:t>
      </w:r>
      <w:proofErr w:type="spellEnd"/>
      <w:r w:rsidRPr="0037768A">
        <w:rPr>
          <w:rFonts w:ascii="Times New Roman" w:hAnsi="Times New Roman" w:cs="Times New Roman"/>
          <w:bCs/>
          <w:color w:val="000000"/>
        </w:rPr>
        <w:t xml:space="preserve"> Mach. Co. v. </w:t>
      </w:r>
      <w:proofErr w:type="spellStart"/>
      <w:r w:rsidRPr="0037768A">
        <w:rPr>
          <w:rFonts w:ascii="Times New Roman" w:hAnsi="Times New Roman" w:cs="Times New Roman"/>
          <w:bCs/>
          <w:color w:val="000000"/>
        </w:rPr>
        <w:t>Buckens</w:t>
      </w:r>
      <w:proofErr w:type="spellEnd"/>
      <w:r w:rsidRPr="0037768A">
        <w:rPr>
          <w:rFonts w:ascii="Times New Roman" w:hAnsi="Times New Roman" w:cs="Times New Roman"/>
          <w:bCs/>
          <w:color w:val="000000"/>
        </w:rPr>
        <w:t xml:space="preserve">, </w:t>
      </w:r>
      <w:proofErr w:type="gramStart"/>
      <w:r w:rsidRPr="0037768A">
        <w:rPr>
          <w:rFonts w:ascii="Times New Roman" w:hAnsi="Times New Roman" w:cs="Times New Roman"/>
          <w:bCs/>
          <w:color w:val="000000"/>
        </w:rPr>
        <w:t>153 A.2d 826</w:t>
      </w:r>
      <w:proofErr w:type="gramEnd"/>
      <w:r w:rsidRPr="0037768A">
        <w:rPr>
          <w:rFonts w:ascii="Times New Roman" w:hAnsi="Times New Roman" w:cs="Times New Roman"/>
          <w:bCs/>
          <w:color w:val="000000"/>
        </w:rPr>
        <w:t xml:space="preserve"> (Conn. 1959).</w:t>
      </w:r>
    </w:p>
    <w:p w14:paraId="0B600693"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Saligman</w:t>
      </w:r>
      <w:proofErr w:type="spellEnd"/>
      <w:r w:rsidRPr="0037768A">
        <w:rPr>
          <w:rFonts w:ascii="Times New Roman" w:hAnsi="Times New Roman" w:cs="Times New Roman"/>
          <w:bCs/>
          <w:color w:val="000000"/>
        </w:rPr>
        <w:t xml:space="preserve"> v. U.S., 56 F. Supp. 505 (</w:t>
      </w:r>
      <w:proofErr w:type="spellStart"/>
      <w:r w:rsidRPr="0037768A">
        <w:rPr>
          <w:rFonts w:ascii="Times New Roman" w:hAnsi="Times New Roman" w:cs="Times New Roman"/>
          <w:bCs/>
          <w:color w:val="000000"/>
        </w:rPr>
        <w:t>E.D.Pa</w:t>
      </w:r>
      <w:proofErr w:type="spellEnd"/>
      <w:r w:rsidRPr="0037768A">
        <w:rPr>
          <w:rFonts w:ascii="Times New Roman" w:hAnsi="Times New Roman" w:cs="Times New Roman"/>
          <w:bCs/>
          <w:color w:val="000000"/>
        </w:rPr>
        <w:t>. 1944).</w:t>
      </w:r>
      <w:proofErr w:type="gramEnd"/>
    </w:p>
    <w:p w14:paraId="7DE8E44E"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City of Raton v. Arkansas River Power Authority, 760 F. Supp. 2d 1132 (D.N.M. 2009).</w:t>
      </w:r>
      <w:proofErr w:type="gramEnd"/>
    </w:p>
    <w:p w14:paraId="6A8B794C"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Chan v. Rose Const. Corp., 621 N.Y.S.2d 213 (N.Y. App. Div. 1995).</w:t>
      </w:r>
      <w:proofErr w:type="gramEnd"/>
    </w:p>
    <w:p w14:paraId="03B94748"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Hartford Mill Co. v. Hartford Tobacco Warehouse Co., 121 S.W. 477 (Ky. 1909).</w:t>
      </w:r>
      <w:proofErr w:type="gramEnd"/>
      <w:r w:rsidRPr="0037768A">
        <w:rPr>
          <w:rFonts w:ascii="Times New Roman" w:hAnsi="Times New Roman" w:cs="Times New Roman"/>
          <w:bCs/>
          <w:color w:val="000000"/>
        </w:rPr>
        <w:t xml:space="preserve"> </w:t>
      </w:r>
    </w:p>
    <w:p w14:paraId="75F0537E"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Sumner v. General Motors Acceptance Corp., 186 S.E. 747 (Ga. Ct. App. 1936).</w:t>
      </w:r>
      <w:proofErr w:type="gramEnd"/>
      <w:r w:rsidRPr="0037768A">
        <w:rPr>
          <w:rFonts w:ascii="Times New Roman" w:hAnsi="Times New Roman" w:cs="Times New Roman"/>
          <w:bCs/>
          <w:color w:val="000000"/>
        </w:rPr>
        <w:t xml:space="preserve"> </w:t>
      </w:r>
    </w:p>
    <w:p w14:paraId="1FC00DC6"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Smith Flooring, Inc. v. Pennsylvania </w:t>
      </w:r>
      <w:proofErr w:type="spellStart"/>
      <w:r w:rsidRPr="0037768A">
        <w:rPr>
          <w:rFonts w:ascii="Times New Roman" w:hAnsi="Times New Roman" w:cs="Times New Roman"/>
          <w:bCs/>
          <w:color w:val="000000"/>
        </w:rPr>
        <w:t>Lumbermens</w:t>
      </w:r>
      <w:proofErr w:type="spellEnd"/>
      <w:r w:rsidRPr="0037768A">
        <w:rPr>
          <w:rFonts w:ascii="Times New Roman" w:hAnsi="Times New Roman" w:cs="Times New Roman"/>
          <w:bCs/>
          <w:color w:val="000000"/>
        </w:rPr>
        <w:t xml:space="preserve"> </w:t>
      </w:r>
      <w:proofErr w:type="spellStart"/>
      <w:r w:rsidRPr="0037768A">
        <w:rPr>
          <w:rFonts w:ascii="Times New Roman" w:hAnsi="Times New Roman" w:cs="Times New Roman"/>
          <w:bCs/>
          <w:color w:val="000000"/>
        </w:rPr>
        <w:t>Mut</w:t>
      </w:r>
      <w:proofErr w:type="spellEnd"/>
      <w:r w:rsidRPr="0037768A">
        <w:rPr>
          <w:rFonts w:ascii="Times New Roman" w:hAnsi="Times New Roman" w:cs="Times New Roman"/>
          <w:bCs/>
          <w:color w:val="000000"/>
        </w:rPr>
        <w:t>.</w:t>
      </w:r>
      <w:proofErr w:type="gramEnd"/>
      <w:r w:rsidRPr="0037768A">
        <w:rPr>
          <w:rFonts w:ascii="Times New Roman" w:hAnsi="Times New Roman" w:cs="Times New Roman"/>
          <w:bCs/>
          <w:color w:val="000000"/>
        </w:rPr>
        <w:t xml:space="preserve"> </w:t>
      </w:r>
      <w:proofErr w:type="gramStart"/>
      <w:r w:rsidRPr="0037768A">
        <w:rPr>
          <w:rFonts w:ascii="Times New Roman" w:hAnsi="Times New Roman" w:cs="Times New Roman"/>
          <w:bCs/>
          <w:color w:val="000000"/>
        </w:rPr>
        <w:t>Ins. Co., 713 F.3d 933 (8th Cir. 2013).</w:t>
      </w:r>
      <w:proofErr w:type="gramEnd"/>
    </w:p>
    <w:p w14:paraId="25DD284B"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VCG Special Opportunities Master Fund Ltd. v. Citibank, N.A., 594 F. Supp. 2d 334 (S.D.N.Y. 2008).</w:t>
      </w:r>
      <w:proofErr w:type="gramEnd"/>
    </w:p>
    <w:p w14:paraId="305F840A"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Bolton v. Alvarado, 714 S.W.2d 119 (Tex. App. 1986).</w:t>
      </w:r>
      <w:proofErr w:type="gramEnd"/>
    </w:p>
    <w:p w14:paraId="5B592F59"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White v. AutoZone, Inc., 213 Fed.</w:t>
      </w:r>
      <w:proofErr w:type="gramEnd"/>
      <w:r w:rsidRPr="0037768A">
        <w:rPr>
          <w:rFonts w:ascii="Times New Roman" w:hAnsi="Times New Roman" w:cs="Times New Roman"/>
          <w:bCs/>
          <w:color w:val="000000"/>
        </w:rPr>
        <w:t xml:space="preserve"> </w:t>
      </w:r>
      <w:proofErr w:type="spellStart"/>
      <w:proofErr w:type="gramStart"/>
      <w:r w:rsidRPr="0037768A">
        <w:rPr>
          <w:rFonts w:ascii="Times New Roman" w:hAnsi="Times New Roman" w:cs="Times New Roman"/>
          <w:bCs/>
          <w:color w:val="000000"/>
        </w:rPr>
        <w:t>Appx</w:t>
      </w:r>
      <w:proofErr w:type="spellEnd"/>
      <w:r w:rsidRPr="0037768A">
        <w:rPr>
          <w:rFonts w:ascii="Times New Roman" w:hAnsi="Times New Roman" w:cs="Times New Roman"/>
          <w:bCs/>
          <w:color w:val="000000"/>
        </w:rPr>
        <w:t>.</w:t>
      </w:r>
      <w:proofErr w:type="gramEnd"/>
      <w:r w:rsidRPr="0037768A">
        <w:rPr>
          <w:rFonts w:ascii="Times New Roman" w:hAnsi="Times New Roman" w:cs="Times New Roman"/>
          <w:bCs/>
          <w:color w:val="000000"/>
        </w:rPr>
        <w:t xml:space="preserve"> </w:t>
      </w:r>
      <w:proofErr w:type="gramStart"/>
      <w:r w:rsidRPr="0037768A">
        <w:rPr>
          <w:rFonts w:ascii="Times New Roman" w:hAnsi="Times New Roman" w:cs="Times New Roman"/>
          <w:bCs/>
          <w:color w:val="000000"/>
        </w:rPr>
        <w:t>628 (9th Cir. 2006).</w:t>
      </w:r>
      <w:proofErr w:type="gramEnd"/>
    </w:p>
    <w:p w14:paraId="077A609F"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Reiss v. Financial Performance Corp., 764 N.E.2d 958 (N.Y. 2001).</w:t>
      </w:r>
      <w:proofErr w:type="gramEnd"/>
    </w:p>
    <w:p w14:paraId="7CD96DD4"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Greenfield v. </w:t>
      </w:r>
      <w:proofErr w:type="spellStart"/>
      <w:r w:rsidRPr="0037768A">
        <w:rPr>
          <w:rFonts w:ascii="Times New Roman" w:hAnsi="Times New Roman" w:cs="Times New Roman"/>
          <w:bCs/>
          <w:color w:val="000000"/>
        </w:rPr>
        <w:t>Philles</w:t>
      </w:r>
      <w:proofErr w:type="spellEnd"/>
      <w:r w:rsidRPr="0037768A">
        <w:rPr>
          <w:rFonts w:ascii="Times New Roman" w:hAnsi="Times New Roman" w:cs="Times New Roman"/>
          <w:bCs/>
          <w:color w:val="000000"/>
        </w:rPr>
        <w:t xml:space="preserve"> Records, Inc., 780 N.E.2d 166 (N.Y. 2002).</w:t>
      </w:r>
      <w:proofErr w:type="gramEnd"/>
    </w:p>
    <w:p w14:paraId="3C575574"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r w:rsidRPr="0037768A">
        <w:rPr>
          <w:rFonts w:ascii="Times New Roman" w:hAnsi="Times New Roman" w:cs="Times New Roman"/>
          <w:bCs/>
          <w:color w:val="000000"/>
        </w:rPr>
        <w:t>Claybrook</w:t>
      </w:r>
      <w:proofErr w:type="spellEnd"/>
      <w:r w:rsidRPr="0037768A">
        <w:rPr>
          <w:rFonts w:ascii="Times New Roman" w:hAnsi="Times New Roman" w:cs="Times New Roman"/>
          <w:bCs/>
          <w:color w:val="000000"/>
        </w:rPr>
        <w:t xml:space="preserve"> v. Central United Life Ins. Co., 387 F. Supp. 2d 1199 (M.D. Ala. 2005). </w:t>
      </w:r>
    </w:p>
    <w:p w14:paraId="7D760B4B"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Foster Wheeler </w:t>
      </w:r>
      <w:proofErr w:type="spellStart"/>
      <w:r w:rsidRPr="0037768A">
        <w:rPr>
          <w:rFonts w:ascii="Times New Roman" w:hAnsi="Times New Roman" w:cs="Times New Roman"/>
          <w:bCs/>
          <w:color w:val="000000"/>
        </w:rPr>
        <w:t>Enviresponse</w:t>
      </w:r>
      <w:proofErr w:type="spellEnd"/>
      <w:r w:rsidRPr="0037768A">
        <w:rPr>
          <w:rFonts w:ascii="Times New Roman" w:hAnsi="Times New Roman" w:cs="Times New Roman"/>
          <w:bCs/>
          <w:color w:val="000000"/>
        </w:rPr>
        <w:t>, Inc. v. Franklin County Convention Facilities Authority, 678 N.E.2d 519 (Ohio 1997).</w:t>
      </w:r>
      <w:proofErr w:type="gramEnd"/>
    </w:p>
    <w:p w14:paraId="349C3961"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Riverside South Planning Corp. v. CRP/</w:t>
      </w:r>
      <w:proofErr w:type="spellStart"/>
      <w:r w:rsidRPr="0037768A">
        <w:rPr>
          <w:rFonts w:ascii="Times New Roman" w:hAnsi="Times New Roman" w:cs="Times New Roman"/>
          <w:bCs/>
          <w:color w:val="000000"/>
        </w:rPr>
        <w:t>Extell</w:t>
      </w:r>
      <w:proofErr w:type="spellEnd"/>
      <w:r w:rsidRPr="0037768A">
        <w:rPr>
          <w:rFonts w:ascii="Times New Roman" w:hAnsi="Times New Roman" w:cs="Times New Roman"/>
          <w:bCs/>
          <w:color w:val="000000"/>
        </w:rPr>
        <w:t xml:space="preserve"> Riverside, L.P., 920 N.E.2d 359 (N.Y. 2009).</w:t>
      </w:r>
      <w:proofErr w:type="gramEnd"/>
    </w:p>
    <w:p w14:paraId="6851FEE6"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In re Universal Service Fund Telephone Billing Practice Litigation, 619 F.3d 1188 (10th Cir. 2010).</w:t>
      </w:r>
      <w:proofErr w:type="gramEnd"/>
    </w:p>
    <w:p w14:paraId="2CACB464"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Tate-Jones &amp; Co. v. Union Electric Steel Co., 126 A. 813 (Pa. 1924).</w:t>
      </w:r>
      <w:proofErr w:type="gramEnd"/>
    </w:p>
    <w:p w14:paraId="78913D50"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Indiana Gas &amp; Water Co. v. Williams, 175 N.E.2d 31 (Ind. App. 1961).</w:t>
      </w:r>
      <w:proofErr w:type="gramEnd"/>
    </w:p>
    <w:p w14:paraId="76EA0FDC"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lastRenderedPageBreak/>
        <w:t>Goldman v. White Plains Center for Nursing Care, LLC, 840 N.Y.S.2d 788 (N.Y. App. Div. 2007).</w:t>
      </w:r>
      <w:proofErr w:type="gramEnd"/>
    </w:p>
    <w:p w14:paraId="0C6F570C"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Atlantic Aviation Investments LLC v. </w:t>
      </w:r>
      <w:proofErr w:type="spellStart"/>
      <w:r w:rsidRPr="0037768A">
        <w:rPr>
          <w:rFonts w:ascii="Times New Roman" w:hAnsi="Times New Roman" w:cs="Times New Roman"/>
          <w:bCs/>
          <w:color w:val="000000"/>
        </w:rPr>
        <w:t>MatlinPatterson</w:t>
      </w:r>
      <w:proofErr w:type="spellEnd"/>
      <w:r w:rsidRPr="0037768A">
        <w:rPr>
          <w:rFonts w:ascii="Times New Roman" w:hAnsi="Times New Roman" w:cs="Times New Roman"/>
          <w:bCs/>
          <w:color w:val="000000"/>
        </w:rPr>
        <w:t xml:space="preserve"> Global Advisers LLC, 938 N.Y.S.2d 64 (N.Y. App. Div. 2012).</w:t>
      </w:r>
      <w:proofErr w:type="gramEnd"/>
    </w:p>
    <w:p w14:paraId="266B1F08"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Aktiengesellschaft</w:t>
      </w:r>
      <w:proofErr w:type="spellEnd"/>
      <w:r w:rsidRPr="0037768A">
        <w:rPr>
          <w:rFonts w:ascii="Times New Roman" w:hAnsi="Times New Roman" w:cs="Times New Roman"/>
          <w:bCs/>
          <w:color w:val="000000"/>
        </w:rPr>
        <w:t xml:space="preserve"> v. Material Sciences Corp., 2005 WL 2407572 (S.D. Ill. 2005).</w:t>
      </w:r>
      <w:proofErr w:type="gramEnd"/>
      <w:r w:rsidRPr="0037768A">
        <w:rPr>
          <w:rFonts w:ascii="Times New Roman" w:hAnsi="Times New Roman" w:cs="Times New Roman"/>
          <w:bCs/>
          <w:color w:val="000000"/>
        </w:rPr>
        <w:t xml:space="preserve"> </w:t>
      </w:r>
    </w:p>
    <w:p w14:paraId="76924E2B"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U.S. Suzuki Motor Corp. v. Johnson, 673 S.W.2d 105 (Mo. Ct. App. 1984).</w:t>
      </w:r>
      <w:proofErr w:type="gramEnd"/>
    </w:p>
    <w:p w14:paraId="65CDC6C6" w14:textId="77777777" w:rsidR="00663E8D" w:rsidRPr="0037768A" w:rsidRDefault="00663E8D" w:rsidP="00663E8D">
      <w:pPr>
        <w:spacing w:line="360" w:lineRule="auto"/>
        <w:ind w:left="720" w:hanging="720"/>
        <w:rPr>
          <w:rFonts w:ascii="Times New Roman" w:hAnsi="Times New Roman" w:cs="Times New Roman"/>
          <w:bCs/>
          <w:color w:val="000000"/>
        </w:rPr>
      </w:pPr>
      <w:r w:rsidRPr="0037768A">
        <w:rPr>
          <w:rFonts w:ascii="Times New Roman" w:hAnsi="Times New Roman" w:cs="Times New Roman"/>
          <w:bCs/>
          <w:color w:val="000000"/>
        </w:rPr>
        <w:t>Diversified Media Brokerage Partners v. Upscale Communications, Inc., 2010 WL 5068936 (E.D.N.Y. 2010).</w:t>
      </w:r>
    </w:p>
    <w:p w14:paraId="224F7D36"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Holytrent</w:t>
      </w:r>
      <w:proofErr w:type="spellEnd"/>
      <w:r w:rsidRPr="0037768A">
        <w:rPr>
          <w:rFonts w:ascii="Times New Roman" w:hAnsi="Times New Roman" w:cs="Times New Roman"/>
          <w:bCs/>
          <w:color w:val="000000"/>
        </w:rPr>
        <w:t xml:space="preserve"> Properties, Inc. v. Valley Park Ltd. Partnership, 32 S.W.3d 27 (Ark. Ct. App. 2000).</w:t>
      </w:r>
      <w:proofErr w:type="gramEnd"/>
    </w:p>
    <w:p w14:paraId="5E834DF1"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Swanson v. Warner, 865 P.2d 493 (Or.</w:t>
      </w:r>
      <w:proofErr w:type="gramEnd"/>
      <w:r w:rsidRPr="0037768A">
        <w:rPr>
          <w:rFonts w:ascii="Times New Roman" w:hAnsi="Times New Roman" w:cs="Times New Roman"/>
          <w:bCs/>
          <w:color w:val="000000"/>
        </w:rPr>
        <w:t xml:space="preserve"> Ct. App. 1993).</w:t>
      </w:r>
    </w:p>
    <w:p w14:paraId="6E5201C5"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Finova</w:t>
      </w:r>
      <w:proofErr w:type="spellEnd"/>
      <w:r w:rsidRPr="0037768A">
        <w:rPr>
          <w:rFonts w:ascii="Times New Roman" w:hAnsi="Times New Roman" w:cs="Times New Roman"/>
          <w:bCs/>
          <w:color w:val="000000"/>
        </w:rPr>
        <w:t xml:space="preserve"> Capital Corp. v. Ream, 230 S.W.3d 35 (Mo. Ct. App. 2007).</w:t>
      </w:r>
      <w:proofErr w:type="gramEnd"/>
    </w:p>
    <w:p w14:paraId="5B1ADFFF" w14:textId="77777777" w:rsidR="00663E8D" w:rsidRPr="0037768A" w:rsidRDefault="00663E8D" w:rsidP="00663E8D">
      <w:pPr>
        <w:spacing w:line="360" w:lineRule="auto"/>
        <w:ind w:left="720" w:hanging="720"/>
        <w:rPr>
          <w:rFonts w:ascii="Times New Roman" w:hAnsi="Times New Roman" w:cs="Times New Roman"/>
          <w:bCs/>
          <w:color w:val="000000"/>
        </w:rPr>
      </w:pPr>
      <w:r w:rsidRPr="0037768A">
        <w:rPr>
          <w:rFonts w:ascii="Times New Roman" w:hAnsi="Times New Roman" w:cs="Times New Roman"/>
          <w:bCs/>
          <w:color w:val="000000"/>
        </w:rPr>
        <w:t xml:space="preserve">HPI/GSA 3C, LLC v. Perry, </w:t>
      </w:r>
      <w:proofErr w:type="gramStart"/>
      <w:r w:rsidRPr="0037768A">
        <w:rPr>
          <w:rFonts w:ascii="Times New Roman" w:hAnsi="Times New Roman" w:cs="Times New Roman"/>
          <w:bCs/>
          <w:color w:val="000000"/>
        </w:rPr>
        <w:t>364 F.3d 1327</w:t>
      </w:r>
      <w:proofErr w:type="gramEnd"/>
      <w:r w:rsidRPr="0037768A">
        <w:rPr>
          <w:rFonts w:ascii="Times New Roman" w:hAnsi="Times New Roman" w:cs="Times New Roman"/>
          <w:bCs/>
          <w:color w:val="000000"/>
        </w:rPr>
        <w:t xml:space="preserve"> (Fed. </w:t>
      </w:r>
      <w:proofErr w:type="gramStart"/>
      <w:r w:rsidRPr="0037768A">
        <w:rPr>
          <w:rFonts w:ascii="Times New Roman" w:hAnsi="Times New Roman" w:cs="Times New Roman"/>
          <w:bCs/>
          <w:color w:val="000000"/>
        </w:rPr>
        <w:t>Cir. 2004).</w:t>
      </w:r>
      <w:proofErr w:type="gramEnd"/>
    </w:p>
    <w:p w14:paraId="3110162D"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Amigo Broadcasting, LP v. Spanish Broadcasting System, Inc., 521 F.3d 472 (5th Cir. 2008).</w:t>
      </w:r>
      <w:proofErr w:type="gramEnd"/>
    </w:p>
    <w:p w14:paraId="512F7C56"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Critelli</w:t>
      </w:r>
      <w:proofErr w:type="spellEnd"/>
      <w:r w:rsidRPr="0037768A">
        <w:rPr>
          <w:rFonts w:ascii="Times New Roman" w:hAnsi="Times New Roman" w:cs="Times New Roman"/>
          <w:bCs/>
          <w:color w:val="000000"/>
        </w:rPr>
        <w:t xml:space="preserve"> v. Commonwealth Land Title Ins. Co., 949 N.Y.S.2d 487 (N.Y. App. Div. 2012).</w:t>
      </w:r>
      <w:proofErr w:type="gramEnd"/>
    </w:p>
    <w:p w14:paraId="25C1CDBB"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D'Annunzio Bros., Inc. v.</w:t>
      </w:r>
      <w:proofErr w:type="gramEnd"/>
      <w:r w:rsidRPr="0037768A">
        <w:rPr>
          <w:rFonts w:ascii="Times New Roman" w:hAnsi="Times New Roman" w:cs="Times New Roman"/>
          <w:bCs/>
          <w:color w:val="000000"/>
        </w:rPr>
        <w:t xml:space="preserve"> </w:t>
      </w:r>
      <w:proofErr w:type="gramStart"/>
      <w:r w:rsidRPr="0037768A">
        <w:rPr>
          <w:rFonts w:ascii="Times New Roman" w:hAnsi="Times New Roman" w:cs="Times New Roman"/>
          <w:bCs/>
          <w:color w:val="000000"/>
        </w:rPr>
        <w:t>New Jersey Transit Corp., 586 A.2d 301 (N.J. Super.</w:t>
      </w:r>
      <w:proofErr w:type="gramEnd"/>
      <w:r w:rsidRPr="0037768A">
        <w:rPr>
          <w:rFonts w:ascii="Times New Roman" w:hAnsi="Times New Roman" w:cs="Times New Roman"/>
          <w:bCs/>
          <w:color w:val="000000"/>
        </w:rPr>
        <w:t xml:space="preserve"> Ct. App. Div. 1991).</w:t>
      </w:r>
    </w:p>
    <w:p w14:paraId="16FE3449"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JAZME, LLC v. Wendt Corp., 809 F. Supp. 2d 957 (D. Minn. 2011).</w:t>
      </w:r>
      <w:proofErr w:type="gramEnd"/>
    </w:p>
    <w:p w14:paraId="31289496"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Green v. Morris, 43 S.W.3d 604 (Tex. App. 2001).</w:t>
      </w:r>
      <w:proofErr w:type="gramEnd"/>
    </w:p>
    <w:p w14:paraId="7CD8FD94"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Dishman</w:t>
      </w:r>
      <w:proofErr w:type="spellEnd"/>
      <w:r w:rsidRPr="0037768A">
        <w:rPr>
          <w:rFonts w:ascii="Times New Roman" w:hAnsi="Times New Roman" w:cs="Times New Roman"/>
          <w:bCs/>
          <w:color w:val="000000"/>
        </w:rPr>
        <w:t xml:space="preserve"> v. Crain Bros., Inc., 415 F. Supp. 277 (</w:t>
      </w:r>
      <w:proofErr w:type="spellStart"/>
      <w:r w:rsidRPr="0037768A">
        <w:rPr>
          <w:rFonts w:ascii="Times New Roman" w:hAnsi="Times New Roman" w:cs="Times New Roman"/>
          <w:bCs/>
          <w:color w:val="000000"/>
        </w:rPr>
        <w:t>W.D.Pa</w:t>
      </w:r>
      <w:proofErr w:type="spellEnd"/>
      <w:r w:rsidRPr="0037768A">
        <w:rPr>
          <w:rFonts w:ascii="Times New Roman" w:hAnsi="Times New Roman" w:cs="Times New Roman"/>
          <w:bCs/>
          <w:color w:val="000000"/>
        </w:rPr>
        <w:t>. 1976).</w:t>
      </w:r>
      <w:proofErr w:type="gramEnd"/>
    </w:p>
    <w:p w14:paraId="2B8514B9"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Suffolk County Water Authority v. Village of Greenport, 800 N.Y.S.2d 767 (N.Y. App. Div. 2005).</w:t>
      </w:r>
      <w:proofErr w:type="gramEnd"/>
    </w:p>
    <w:p w14:paraId="2B78BDB9"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Joseph v. Creek &amp; Pines, Ltd., 629 N.Y.S.2d 75 (N.Y. App. Div. 1995).</w:t>
      </w:r>
      <w:proofErr w:type="gramEnd"/>
    </w:p>
    <w:p w14:paraId="521324BE" w14:textId="77777777" w:rsidR="00663E8D" w:rsidRPr="0037768A" w:rsidRDefault="00663E8D" w:rsidP="00663E8D">
      <w:pPr>
        <w:spacing w:line="360" w:lineRule="auto"/>
        <w:ind w:left="720" w:hanging="720"/>
        <w:rPr>
          <w:rFonts w:ascii="Times New Roman" w:hAnsi="Times New Roman" w:cs="Times New Roman"/>
          <w:bCs/>
          <w:color w:val="000000"/>
        </w:rPr>
      </w:pPr>
      <w:proofErr w:type="gramStart"/>
      <w:r w:rsidRPr="0037768A">
        <w:rPr>
          <w:rFonts w:ascii="Times New Roman" w:hAnsi="Times New Roman" w:cs="Times New Roman"/>
          <w:bCs/>
          <w:color w:val="000000"/>
        </w:rPr>
        <w:t xml:space="preserve">City of Augusta v. </w:t>
      </w:r>
      <w:proofErr w:type="spellStart"/>
      <w:r w:rsidRPr="0037768A">
        <w:rPr>
          <w:rFonts w:ascii="Times New Roman" w:hAnsi="Times New Roman" w:cs="Times New Roman"/>
          <w:bCs/>
          <w:color w:val="000000"/>
        </w:rPr>
        <w:t>Quirion</w:t>
      </w:r>
      <w:proofErr w:type="spellEnd"/>
      <w:r w:rsidRPr="0037768A">
        <w:rPr>
          <w:rFonts w:ascii="Times New Roman" w:hAnsi="Times New Roman" w:cs="Times New Roman"/>
          <w:bCs/>
          <w:color w:val="000000"/>
        </w:rPr>
        <w:t>, 436 A.2d 388 (Me. 1981).</w:t>
      </w:r>
      <w:proofErr w:type="gramEnd"/>
    </w:p>
    <w:p w14:paraId="43757240" w14:textId="77777777" w:rsidR="00663E8D" w:rsidRPr="0037768A" w:rsidRDefault="00663E8D" w:rsidP="00663E8D">
      <w:pPr>
        <w:spacing w:line="360" w:lineRule="auto"/>
        <w:ind w:left="720" w:hanging="720"/>
        <w:rPr>
          <w:rFonts w:ascii="Times New Roman" w:hAnsi="Times New Roman" w:cs="Times New Roman"/>
          <w:bCs/>
          <w:color w:val="000000"/>
        </w:rPr>
      </w:pPr>
      <w:proofErr w:type="spellStart"/>
      <w:proofErr w:type="gramStart"/>
      <w:r w:rsidRPr="0037768A">
        <w:rPr>
          <w:rFonts w:ascii="Times New Roman" w:hAnsi="Times New Roman" w:cs="Times New Roman"/>
          <w:bCs/>
          <w:color w:val="000000"/>
        </w:rPr>
        <w:t>McWane</w:t>
      </w:r>
      <w:proofErr w:type="spellEnd"/>
      <w:r w:rsidRPr="0037768A">
        <w:rPr>
          <w:rFonts w:ascii="Times New Roman" w:hAnsi="Times New Roman" w:cs="Times New Roman"/>
          <w:bCs/>
          <w:color w:val="000000"/>
        </w:rPr>
        <w:t>, Inc. v. Crow Chicago Indus., Inc., 224 F.3d 582 (7th Cir. 2000).</w:t>
      </w:r>
      <w:proofErr w:type="gramEnd"/>
    </w:p>
    <w:p w14:paraId="0BACEA4E" w14:textId="77777777" w:rsidR="00663E8D" w:rsidRPr="0037768A" w:rsidRDefault="00663E8D" w:rsidP="00663E8D">
      <w:pPr>
        <w:spacing w:line="360" w:lineRule="auto"/>
        <w:ind w:left="720" w:hanging="720"/>
        <w:rPr>
          <w:rFonts w:ascii="Times New Roman" w:hAnsi="Times New Roman" w:cs="Times New Roman"/>
        </w:rPr>
      </w:pPr>
    </w:p>
    <w:p w14:paraId="6A9BD50F" w14:textId="77777777" w:rsidR="00D07091" w:rsidRDefault="00D07091" w:rsidP="00546B5E">
      <w:pPr>
        <w:spacing w:line="360" w:lineRule="auto"/>
        <w:rPr>
          <w:rFonts w:ascii="Times New Roman" w:hAnsi="Times New Roman" w:cs="Times New Roman"/>
          <w:b/>
          <w:bCs/>
          <w:color w:val="000000"/>
        </w:rPr>
      </w:pPr>
    </w:p>
    <w:p w14:paraId="2F438F7B" w14:textId="77777777" w:rsidR="00663E8D" w:rsidRDefault="00663E8D" w:rsidP="00546B5E">
      <w:pPr>
        <w:spacing w:line="360" w:lineRule="auto"/>
        <w:rPr>
          <w:rFonts w:ascii="Times New Roman" w:hAnsi="Times New Roman" w:cs="Times New Roman"/>
          <w:b/>
          <w:bCs/>
          <w:color w:val="000000"/>
        </w:rPr>
      </w:pPr>
    </w:p>
    <w:p w14:paraId="4DE4269E" w14:textId="77777777" w:rsidR="00663E8D" w:rsidRDefault="00663E8D" w:rsidP="00546B5E">
      <w:pPr>
        <w:spacing w:line="360" w:lineRule="auto"/>
        <w:rPr>
          <w:rFonts w:ascii="Times New Roman" w:hAnsi="Times New Roman" w:cs="Times New Roman"/>
          <w:b/>
          <w:bCs/>
          <w:color w:val="000000"/>
        </w:rPr>
      </w:pPr>
    </w:p>
    <w:p w14:paraId="3A72EE32" w14:textId="77777777" w:rsidR="00546B5E" w:rsidRPr="0005639A" w:rsidRDefault="00546B5E" w:rsidP="00366232">
      <w:pPr>
        <w:spacing w:line="360" w:lineRule="auto"/>
        <w:ind w:firstLine="720"/>
        <w:rPr>
          <w:rFonts w:ascii="Times New Roman" w:hAnsi="Times New Roman" w:cs="Times New Roman"/>
        </w:rPr>
      </w:pPr>
    </w:p>
    <w:sectPr w:rsidR="00546B5E" w:rsidRPr="0005639A" w:rsidSect="00070A9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DEEC" w14:textId="77777777" w:rsidR="00A1412B" w:rsidRDefault="00A1412B" w:rsidP="00424F87">
      <w:r>
        <w:separator/>
      </w:r>
    </w:p>
  </w:endnote>
  <w:endnote w:type="continuationSeparator" w:id="0">
    <w:p w14:paraId="15990B64" w14:textId="77777777" w:rsidR="00A1412B" w:rsidRDefault="00A1412B" w:rsidP="0042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SimSun">
    <w:altName w:val="???¡ì??"/>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 Pro W3">
    <w:altName w:val="ＭＳ 明朝"/>
    <w:panose1 w:val="00000000000000000000"/>
    <w:charset w:val="80"/>
    <w:family w:val="auto"/>
    <w:notTrueType/>
    <w:pitch w:val="variable"/>
    <w:sig w:usb0="00000000" w:usb1="08070000" w:usb2="00000010" w:usb3="00000000" w:csb0="00020000" w:csb1="00000000"/>
  </w:font>
  <w:font w:name="NewBaskerville">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A41A" w14:textId="77777777" w:rsidR="00A1412B" w:rsidRDefault="00A1412B">
    <w:pPr>
      <w:framePr w:wrap="notBeside" w:hAnchor="text" w:xAlign="center"/>
    </w:pPr>
    <w:r>
      <w:fldChar w:fldCharType="begin"/>
    </w:r>
    <w:r>
      <w:instrText xml:space="preserve"> PAGE  </w:instrText>
    </w:r>
    <w:r>
      <w:fldChar w:fldCharType="separate"/>
    </w:r>
    <w:r w:rsidR="000D523F">
      <w:rPr>
        <w:noProof/>
      </w:rPr>
      <w:t>1</w:t>
    </w:r>
    <w:r>
      <w:fldChar w:fldCharType="end"/>
    </w:r>
  </w:p>
  <w:p w14:paraId="723E5827" w14:textId="77777777" w:rsidR="00A1412B" w:rsidRDefault="00A14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F50D" w14:textId="77777777" w:rsidR="00A1412B" w:rsidRDefault="00A1412B" w:rsidP="00424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5B9DA" w14:textId="77777777" w:rsidR="00A1412B" w:rsidRDefault="00A14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F79C4" w14:textId="77777777" w:rsidR="00A1412B" w:rsidRDefault="00A1412B" w:rsidP="00424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23F">
      <w:rPr>
        <w:rStyle w:val="PageNumber"/>
        <w:noProof/>
      </w:rPr>
      <w:t>4</w:t>
    </w:r>
    <w:r>
      <w:rPr>
        <w:rStyle w:val="PageNumber"/>
      </w:rPr>
      <w:fldChar w:fldCharType="end"/>
    </w:r>
  </w:p>
  <w:p w14:paraId="70EF39F4" w14:textId="77777777" w:rsidR="00A1412B" w:rsidRDefault="00A14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57AA8" w14:textId="77777777" w:rsidR="00A1412B" w:rsidRDefault="00A1412B" w:rsidP="00424F87">
      <w:r>
        <w:separator/>
      </w:r>
    </w:p>
  </w:footnote>
  <w:footnote w:type="continuationSeparator" w:id="0">
    <w:p w14:paraId="3A9FBF8C" w14:textId="77777777" w:rsidR="00A1412B" w:rsidRDefault="00A1412B" w:rsidP="00424F87">
      <w:r>
        <w:continuationSeparator/>
      </w:r>
    </w:p>
  </w:footnote>
  <w:footnote w:id="1">
    <w:p w14:paraId="41B36C3F" w14:textId="4CC329D7" w:rsidR="00A1412B" w:rsidRDefault="00A1412B" w:rsidP="00F3538B">
      <w:pPr>
        <w:pStyle w:val="FootnoteText"/>
        <w:spacing w:line="240" w:lineRule="auto"/>
        <w:rPr>
          <w:sz w:val="20"/>
          <w:szCs w:val="20"/>
        </w:rPr>
      </w:pPr>
      <w:r w:rsidRPr="00423360">
        <w:rPr>
          <w:rStyle w:val="FootnoteReference"/>
          <w:sz w:val="32"/>
          <w:szCs w:val="32"/>
        </w:rPr>
        <w:sym w:font="Symbol" w:char="F02A"/>
      </w:r>
      <w:r w:rsidRPr="00423360">
        <w:rPr>
          <w:sz w:val="32"/>
          <w:szCs w:val="32"/>
        </w:rPr>
        <w:t xml:space="preserve"> </w:t>
      </w:r>
      <w:r w:rsidRPr="00F3538B">
        <w:rPr>
          <w:sz w:val="20"/>
          <w:szCs w:val="20"/>
        </w:rPr>
        <w:t>Alfred McCormack Professor of Law and Director, Center for Contract and Economic Organization, Columbia Law School.</w:t>
      </w:r>
    </w:p>
    <w:p w14:paraId="50A5388A" w14:textId="77777777" w:rsidR="00A1412B" w:rsidRDefault="00A1412B" w:rsidP="00F3538B">
      <w:pPr>
        <w:pStyle w:val="FootnoteText"/>
        <w:spacing w:line="240" w:lineRule="auto"/>
      </w:pPr>
    </w:p>
  </w:footnote>
  <w:footnote w:id="2">
    <w:p w14:paraId="45901253" w14:textId="431BDD22" w:rsidR="00A1412B" w:rsidRDefault="00A1412B" w:rsidP="00C3366A">
      <w:pPr>
        <w:pStyle w:val="FootnoteText"/>
        <w:tabs>
          <w:tab w:val="left" w:pos="-720"/>
        </w:tabs>
        <w:spacing w:line="240" w:lineRule="auto"/>
        <w:ind w:firstLine="0"/>
        <w:contextualSpacing/>
        <w:rPr>
          <w:sz w:val="20"/>
          <w:szCs w:val="20"/>
        </w:rPr>
      </w:pPr>
      <w:r>
        <w:tab/>
      </w:r>
      <w:r>
        <w:rPr>
          <w:rStyle w:val="FootnoteReference"/>
        </w:rPr>
        <w:footnoteRef/>
      </w:r>
      <w:r>
        <w:t xml:space="preserve"> </w:t>
      </w:r>
      <w:r w:rsidRPr="0017404D">
        <w:rPr>
          <w:i/>
          <w:sz w:val="20"/>
          <w:szCs w:val="20"/>
        </w:rPr>
        <w:t xml:space="preserve">See </w:t>
      </w:r>
      <w:r w:rsidRPr="0017404D">
        <w:rPr>
          <w:sz w:val="20"/>
          <w:szCs w:val="20"/>
        </w:rPr>
        <w:t xml:space="preserve">Nicholas S. </w:t>
      </w:r>
      <w:proofErr w:type="spellStart"/>
      <w:r w:rsidRPr="0017404D">
        <w:rPr>
          <w:sz w:val="20"/>
          <w:szCs w:val="20"/>
        </w:rPr>
        <w:t>Argyres</w:t>
      </w:r>
      <w:proofErr w:type="spellEnd"/>
      <w:r w:rsidRPr="0017404D">
        <w:rPr>
          <w:sz w:val="20"/>
          <w:szCs w:val="20"/>
        </w:rPr>
        <w:t xml:space="preserve">, Janet </w:t>
      </w:r>
      <w:proofErr w:type="spellStart"/>
      <w:r w:rsidRPr="0017404D">
        <w:rPr>
          <w:sz w:val="20"/>
          <w:szCs w:val="20"/>
        </w:rPr>
        <w:t>Bercovitz</w:t>
      </w:r>
      <w:proofErr w:type="spellEnd"/>
      <w:r w:rsidRPr="0017404D">
        <w:rPr>
          <w:sz w:val="20"/>
          <w:szCs w:val="20"/>
        </w:rPr>
        <w:t xml:space="preserve"> &amp; Kyle J. Mayer, </w:t>
      </w:r>
      <w:r w:rsidRPr="0017404D">
        <w:rPr>
          <w:i/>
          <w:sz w:val="20"/>
          <w:szCs w:val="20"/>
        </w:rPr>
        <w:t>Complementarity and Evolution of Contractual Provisions: An Empirical Study of IT Services Contracts</w:t>
      </w:r>
      <w:r w:rsidRPr="0017404D">
        <w:rPr>
          <w:sz w:val="20"/>
          <w:szCs w:val="20"/>
        </w:rPr>
        <w:t>,</w:t>
      </w:r>
      <w:r w:rsidRPr="0017404D">
        <w:rPr>
          <w:i/>
          <w:sz w:val="20"/>
          <w:szCs w:val="20"/>
        </w:rPr>
        <w:t xml:space="preserve"> </w:t>
      </w:r>
      <w:r w:rsidRPr="0017404D">
        <w:rPr>
          <w:sz w:val="20"/>
          <w:szCs w:val="20"/>
        </w:rPr>
        <w:t xml:space="preserve">18 </w:t>
      </w:r>
      <w:r w:rsidRPr="0017404D">
        <w:rPr>
          <w:smallCaps/>
          <w:sz w:val="20"/>
          <w:szCs w:val="20"/>
        </w:rPr>
        <w:t xml:space="preserve">Org. Sci. </w:t>
      </w:r>
      <w:r w:rsidRPr="0017404D">
        <w:rPr>
          <w:sz w:val="20"/>
          <w:szCs w:val="20"/>
        </w:rPr>
        <w:t>3, 15 (2007) (“[C]</w:t>
      </w:r>
      <w:proofErr w:type="spellStart"/>
      <w:r w:rsidRPr="0017404D">
        <w:rPr>
          <w:sz w:val="20"/>
          <w:szCs w:val="20"/>
        </w:rPr>
        <w:t>ontractual</w:t>
      </w:r>
      <w:proofErr w:type="spellEnd"/>
      <w:r w:rsidRPr="0017404D">
        <w:rPr>
          <w:sz w:val="20"/>
          <w:szCs w:val="20"/>
        </w:rPr>
        <w:t xml:space="preserve"> partners . . . that had a longer history of transacting with each other were more likely to include contingency planning in their contracts.”);</w:t>
      </w:r>
      <w:r w:rsidRPr="0017404D">
        <w:rPr>
          <w:b/>
          <w:sz w:val="20"/>
          <w:szCs w:val="20"/>
        </w:rPr>
        <w:t xml:space="preserve"> </w:t>
      </w:r>
      <w:r w:rsidRPr="0017404D">
        <w:rPr>
          <w:sz w:val="20"/>
          <w:szCs w:val="20"/>
        </w:rPr>
        <w:t xml:space="preserve">Kyle J. Mayer &amp; Nicholas S. </w:t>
      </w:r>
      <w:proofErr w:type="spellStart"/>
      <w:r w:rsidRPr="0017404D">
        <w:rPr>
          <w:sz w:val="20"/>
          <w:szCs w:val="20"/>
        </w:rPr>
        <w:t>Argyres</w:t>
      </w:r>
      <w:proofErr w:type="spellEnd"/>
      <w:r w:rsidRPr="0017404D">
        <w:rPr>
          <w:sz w:val="20"/>
          <w:szCs w:val="20"/>
        </w:rPr>
        <w:t xml:space="preserve">, </w:t>
      </w:r>
      <w:r w:rsidRPr="0017404D">
        <w:rPr>
          <w:i/>
          <w:sz w:val="20"/>
          <w:szCs w:val="20"/>
        </w:rPr>
        <w:t>Learning to Contract: Evidence from the Personal Computer Industry</w:t>
      </w:r>
      <w:r w:rsidRPr="0017404D">
        <w:rPr>
          <w:sz w:val="20"/>
          <w:szCs w:val="20"/>
        </w:rPr>
        <w:t xml:space="preserve">, 15 </w:t>
      </w:r>
      <w:r w:rsidRPr="0017404D">
        <w:rPr>
          <w:smallCaps/>
          <w:sz w:val="20"/>
          <w:szCs w:val="20"/>
        </w:rPr>
        <w:t>Org. Sci.</w:t>
      </w:r>
      <w:r w:rsidRPr="0017404D">
        <w:rPr>
          <w:sz w:val="20"/>
          <w:szCs w:val="20"/>
        </w:rPr>
        <w:t xml:space="preserve"> 394, 396 (2004) (finding that successive contracts between the same two contracting partners become more complex over time as the partners learn how to address contracting hazards); Michael D. </w:t>
      </w:r>
      <w:proofErr w:type="spellStart"/>
      <w:r w:rsidRPr="0017404D">
        <w:rPr>
          <w:sz w:val="20"/>
          <w:szCs w:val="20"/>
        </w:rPr>
        <w:t>Ryall</w:t>
      </w:r>
      <w:proofErr w:type="spellEnd"/>
      <w:r w:rsidRPr="0017404D">
        <w:rPr>
          <w:sz w:val="20"/>
          <w:szCs w:val="20"/>
        </w:rPr>
        <w:t xml:space="preserve"> &amp; Rachelle C. Sampson, </w:t>
      </w:r>
      <w:r w:rsidRPr="0017404D">
        <w:rPr>
          <w:i/>
          <w:sz w:val="20"/>
          <w:szCs w:val="20"/>
        </w:rPr>
        <w:t>Do Prior Alliances Influence Alliance Contract Structure?</w:t>
      </w:r>
      <w:r w:rsidRPr="0017404D">
        <w:rPr>
          <w:sz w:val="20"/>
          <w:szCs w:val="20"/>
        </w:rPr>
        <w:t xml:space="preserve">, </w:t>
      </w:r>
      <w:r w:rsidRPr="0017404D">
        <w:rPr>
          <w:i/>
          <w:sz w:val="20"/>
          <w:szCs w:val="20"/>
        </w:rPr>
        <w:t>in</w:t>
      </w:r>
      <w:r w:rsidRPr="0017404D">
        <w:rPr>
          <w:sz w:val="20"/>
          <w:szCs w:val="20"/>
        </w:rPr>
        <w:t xml:space="preserve"> </w:t>
      </w:r>
      <w:r w:rsidRPr="0017404D">
        <w:rPr>
          <w:smallCaps/>
          <w:sz w:val="20"/>
          <w:szCs w:val="20"/>
        </w:rPr>
        <w:t>Strategic Alliances: Governance and Contracts 206, 206–07</w:t>
      </w:r>
      <w:r w:rsidRPr="0017404D">
        <w:rPr>
          <w:b/>
          <w:sz w:val="20"/>
          <w:szCs w:val="20"/>
        </w:rPr>
        <w:t xml:space="preserve"> </w:t>
      </w:r>
      <w:r w:rsidRPr="0017404D">
        <w:rPr>
          <w:sz w:val="20"/>
          <w:szCs w:val="20"/>
        </w:rPr>
        <w:t xml:space="preserve">(Africa </w:t>
      </w:r>
      <w:proofErr w:type="spellStart"/>
      <w:r w:rsidRPr="0017404D">
        <w:rPr>
          <w:sz w:val="20"/>
          <w:szCs w:val="20"/>
        </w:rPr>
        <w:t>Ariño</w:t>
      </w:r>
      <w:proofErr w:type="spellEnd"/>
      <w:r w:rsidRPr="0017404D">
        <w:rPr>
          <w:sz w:val="20"/>
          <w:szCs w:val="20"/>
        </w:rPr>
        <w:t xml:space="preserve"> &amp; Jeffrey J. </w:t>
      </w:r>
      <w:proofErr w:type="spellStart"/>
      <w:r w:rsidRPr="0017404D">
        <w:rPr>
          <w:sz w:val="20"/>
          <w:szCs w:val="20"/>
        </w:rPr>
        <w:t>Reuer</w:t>
      </w:r>
      <w:proofErr w:type="spellEnd"/>
      <w:r w:rsidRPr="0017404D">
        <w:rPr>
          <w:sz w:val="20"/>
          <w:szCs w:val="20"/>
        </w:rPr>
        <w:t xml:space="preserve"> eds., 2006) (finding that contracts are more complete or detailed when firms have prior alliances, whether with the same firm or other firms).</w:t>
      </w:r>
    </w:p>
    <w:p w14:paraId="77FF0AE4" w14:textId="6FBB45B0" w:rsidR="00A1412B" w:rsidRDefault="00A1412B" w:rsidP="00C3366A">
      <w:pPr>
        <w:pStyle w:val="FootnoteText"/>
      </w:pPr>
    </w:p>
  </w:footnote>
  <w:footnote w:id="3">
    <w:p w14:paraId="756F9009" w14:textId="13594E5C" w:rsidR="00A1412B" w:rsidRPr="003B3C6F" w:rsidRDefault="00A1412B" w:rsidP="003B3C6F">
      <w:pPr>
        <w:pStyle w:val="FootNote"/>
        <w:rPr>
          <w:rFonts w:ascii="Times New Roman" w:hAnsi="Times New Roman"/>
          <w:sz w:val="20"/>
        </w:rPr>
      </w:pPr>
      <w:r>
        <w:tab/>
      </w:r>
      <w:r>
        <w:tab/>
      </w:r>
      <w:r w:rsidRPr="003B3C6F">
        <w:rPr>
          <w:rStyle w:val="FootnoteReference"/>
          <w:rFonts w:ascii="Times New Roman" w:hAnsi="Times New Roman"/>
          <w:sz w:val="20"/>
        </w:rPr>
        <w:footnoteRef/>
      </w:r>
      <w:r w:rsidRPr="003B3C6F">
        <w:rPr>
          <w:rFonts w:ascii="Times New Roman" w:hAnsi="Times New Roman"/>
          <w:sz w:val="20"/>
        </w:rPr>
        <w:t xml:space="preserve"> </w:t>
      </w:r>
      <w:r w:rsidRPr="003B3C6F">
        <w:rPr>
          <w:rFonts w:ascii="Times New Roman" w:eastAsia="SimSun" w:hAnsi="Times New Roman"/>
          <w:sz w:val="20"/>
        </w:rPr>
        <w:t xml:space="preserve">An early empirical study found that 25.8% of a sample of five hundred cases raised interpretation and </w:t>
      </w:r>
      <w:proofErr w:type="spellStart"/>
      <w:r w:rsidRPr="003B3C6F">
        <w:rPr>
          <w:rFonts w:ascii="Times New Roman" w:eastAsia="SimSun" w:hAnsi="Times New Roman"/>
          <w:sz w:val="20"/>
        </w:rPr>
        <w:t>parol</w:t>
      </w:r>
      <w:proofErr w:type="spellEnd"/>
      <w:r w:rsidRPr="003B3C6F">
        <w:rPr>
          <w:rFonts w:ascii="Times New Roman" w:eastAsia="SimSun" w:hAnsi="Times New Roman"/>
          <w:sz w:val="20"/>
        </w:rPr>
        <w:t xml:space="preserve"> evidence issues.  </w:t>
      </w:r>
      <w:r w:rsidRPr="003B3C6F">
        <w:rPr>
          <w:rFonts w:ascii="Times New Roman" w:eastAsia="SimSun" w:hAnsi="Times New Roman"/>
          <w:i/>
          <w:sz w:val="20"/>
        </w:rPr>
        <w:t>See</w:t>
      </w:r>
      <w:r w:rsidRPr="003B3C6F">
        <w:rPr>
          <w:rFonts w:ascii="Times New Roman" w:eastAsia="SimSun" w:hAnsi="Times New Roman"/>
          <w:sz w:val="20"/>
        </w:rPr>
        <w:t xml:space="preserve"> Harold Shepherd, </w:t>
      </w:r>
      <w:r w:rsidRPr="003B3C6F">
        <w:rPr>
          <w:rFonts w:ascii="Times New Roman" w:eastAsia="SimSun" w:hAnsi="Times New Roman"/>
          <w:i/>
          <w:iCs/>
          <w:sz w:val="20"/>
        </w:rPr>
        <w:t>Contracts in a Prosperity Year</w:t>
      </w:r>
      <w:r w:rsidRPr="003B3C6F">
        <w:rPr>
          <w:rFonts w:ascii="Times New Roman" w:eastAsia="SimSun" w:hAnsi="Times New Roman"/>
          <w:sz w:val="20"/>
        </w:rPr>
        <w:t xml:space="preserve">, 6 </w:t>
      </w:r>
      <w:r w:rsidRPr="003B3C6F">
        <w:rPr>
          <w:rFonts w:ascii="Times New Roman" w:eastAsia="SimSun" w:hAnsi="Times New Roman"/>
          <w:smallCaps/>
          <w:sz w:val="20"/>
        </w:rPr>
        <w:t>Stan. L. Rev.</w:t>
      </w:r>
      <w:r w:rsidRPr="003B3C6F">
        <w:rPr>
          <w:rFonts w:ascii="Times New Roman" w:eastAsia="SimSun" w:hAnsi="Times New Roman"/>
          <w:sz w:val="20"/>
        </w:rPr>
        <w:t xml:space="preserve"> 208, 222–24 (1954); </w:t>
      </w:r>
      <w:r w:rsidRPr="003B3C6F">
        <w:rPr>
          <w:rFonts w:ascii="Times New Roman" w:eastAsia="SimSun" w:hAnsi="Times New Roman"/>
          <w:i/>
          <w:iCs/>
          <w:sz w:val="20"/>
        </w:rPr>
        <w:t xml:space="preserve">see also </w:t>
      </w:r>
      <w:r w:rsidRPr="003B3C6F">
        <w:rPr>
          <w:rFonts w:ascii="Times New Roman" w:eastAsia="SimSun" w:hAnsi="Times New Roman"/>
          <w:sz w:val="20"/>
        </w:rPr>
        <w:t xml:space="preserve">David A. </w:t>
      </w:r>
      <w:proofErr w:type="spellStart"/>
      <w:r w:rsidRPr="003B3C6F">
        <w:rPr>
          <w:rFonts w:ascii="Times New Roman" w:eastAsia="SimSun" w:hAnsi="Times New Roman"/>
          <w:sz w:val="20"/>
        </w:rPr>
        <w:t>Dilts</w:t>
      </w:r>
      <w:proofErr w:type="spellEnd"/>
      <w:r w:rsidRPr="003B3C6F">
        <w:rPr>
          <w:rFonts w:ascii="Times New Roman" w:eastAsia="SimSun" w:hAnsi="Times New Roman"/>
          <w:sz w:val="20"/>
        </w:rPr>
        <w:t xml:space="preserve">, </w:t>
      </w:r>
      <w:r w:rsidRPr="003B3C6F">
        <w:rPr>
          <w:rFonts w:ascii="Times New Roman" w:eastAsia="SimSun" w:hAnsi="Times New Roman"/>
          <w:i/>
          <w:iCs/>
          <w:sz w:val="20"/>
        </w:rPr>
        <w:t>Of Words and Contracts: Arbitration and Lexicology</w:t>
      </w:r>
      <w:r w:rsidRPr="003B3C6F">
        <w:rPr>
          <w:rFonts w:ascii="Times New Roman" w:eastAsia="SimSun" w:hAnsi="Times New Roman"/>
          <w:sz w:val="20"/>
        </w:rPr>
        <w:t xml:space="preserve">, 60 </w:t>
      </w:r>
      <w:r w:rsidRPr="003B3C6F">
        <w:rPr>
          <w:rFonts w:ascii="Times New Roman" w:eastAsia="SimSun" w:hAnsi="Times New Roman"/>
          <w:smallCaps/>
          <w:sz w:val="20"/>
        </w:rPr>
        <w:t xml:space="preserve">Disp. </w:t>
      </w:r>
      <w:proofErr w:type="spellStart"/>
      <w:r w:rsidRPr="003B3C6F">
        <w:rPr>
          <w:rFonts w:ascii="Times New Roman" w:eastAsia="SimSun" w:hAnsi="Times New Roman"/>
          <w:smallCaps/>
          <w:sz w:val="20"/>
        </w:rPr>
        <w:t>Resol</w:t>
      </w:r>
      <w:proofErr w:type="spellEnd"/>
      <w:r w:rsidRPr="003B3C6F">
        <w:rPr>
          <w:rFonts w:ascii="Times New Roman" w:eastAsia="SimSun" w:hAnsi="Times New Roman"/>
          <w:smallCaps/>
          <w:sz w:val="20"/>
        </w:rPr>
        <w:t>. J.</w:t>
      </w:r>
      <w:r w:rsidRPr="003B3C6F">
        <w:rPr>
          <w:rFonts w:ascii="Times New Roman" w:eastAsia="SimSun" w:hAnsi="Times New Roman"/>
          <w:sz w:val="20"/>
        </w:rPr>
        <w:t xml:space="preserve"> 41, 43 (2005) (“The construction of contract language is the controversy most evident in contract disputes.”); John P. </w:t>
      </w:r>
      <w:proofErr w:type="spellStart"/>
      <w:r w:rsidRPr="003B3C6F">
        <w:rPr>
          <w:rFonts w:ascii="Times New Roman" w:eastAsia="SimSun" w:hAnsi="Times New Roman"/>
          <w:sz w:val="20"/>
        </w:rPr>
        <w:t>Tomaszewski</w:t>
      </w:r>
      <w:proofErr w:type="spellEnd"/>
      <w:r w:rsidRPr="003B3C6F">
        <w:rPr>
          <w:rFonts w:ascii="Times New Roman" w:eastAsia="SimSun" w:hAnsi="Times New Roman"/>
          <w:sz w:val="20"/>
        </w:rPr>
        <w:t xml:space="preserve">, </w:t>
      </w:r>
      <w:proofErr w:type="gramStart"/>
      <w:r w:rsidRPr="003B3C6F">
        <w:rPr>
          <w:rFonts w:ascii="Times New Roman" w:eastAsia="SimSun" w:hAnsi="Times New Roman"/>
          <w:i/>
          <w:iCs/>
          <w:sz w:val="20"/>
        </w:rPr>
        <w:t>The</w:t>
      </w:r>
      <w:proofErr w:type="gramEnd"/>
      <w:r w:rsidRPr="003B3C6F">
        <w:rPr>
          <w:rFonts w:ascii="Times New Roman" w:eastAsia="SimSun" w:hAnsi="Times New Roman"/>
          <w:i/>
          <w:iCs/>
          <w:sz w:val="20"/>
        </w:rPr>
        <w:t xml:space="preserve"> Pandora’s Box of Cyberspace: State Regulation of Digital Signatures and the Dormant Commerce Clause</w:t>
      </w:r>
      <w:r w:rsidRPr="003B3C6F">
        <w:rPr>
          <w:rFonts w:ascii="Times New Roman" w:eastAsia="SimSun" w:hAnsi="Times New Roman"/>
          <w:sz w:val="20"/>
        </w:rPr>
        <w:t xml:space="preserve">, 33 </w:t>
      </w:r>
      <w:proofErr w:type="spellStart"/>
      <w:r w:rsidRPr="003B3C6F">
        <w:rPr>
          <w:rFonts w:ascii="Times New Roman" w:eastAsia="SimSun" w:hAnsi="Times New Roman"/>
          <w:smallCaps/>
          <w:sz w:val="20"/>
        </w:rPr>
        <w:t>Gonz</w:t>
      </w:r>
      <w:proofErr w:type="spellEnd"/>
      <w:r w:rsidRPr="003B3C6F">
        <w:rPr>
          <w:rFonts w:ascii="Times New Roman" w:eastAsia="SimSun" w:hAnsi="Times New Roman"/>
          <w:smallCaps/>
          <w:sz w:val="20"/>
        </w:rPr>
        <w:t>. L. Rev.</w:t>
      </w:r>
      <w:r w:rsidRPr="003B3C6F">
        <w:rPr>
          <w:rFonts w:ascii="Times New Roman" w:eastAsia="SimSun" w:hAnsi="Times New Roman"/>
          <w:sz w:val="20"/>
        </w:rPr>
        <w:t xml:space="preserve"> 417, 432 (1998) (“Most contract litigation involves disputes over construction of the terms in a contract.”).</w:t>
      </w:r>
    </w:p>
    <w:p w14:paraId="5FF85C06" w14:textId="567DCAB3" w:rsidR="00A1412B" w:rsidRPr="003B3C6F" w:rsidRDefault="00A1412B">
      <w:pPr>
        <w:pStyle w:val="FootnoteText"/>
        <w:rPr>
          <w:sz w:val="20"/>
          <w:szCs w:val="20"/>
        </w:rPr>
      </w:pPr>
    </w:p>
  </w:footnote>
  <w:footnote w:id="4">
    <w:p w14:paraId="1286C51B" w14:textId="4315AAB2" w:rsidR="00A1412B" w:rsidRDefault="00A1412B" w:rsidP="009F6C2C">
      <w:pPr>
        <w:pStyle w:val="footnotete1"/>
        <w:tabs>
          <w:tab w:val="left" w:pos="0"/>
          <w:tab w:val="center" w:pos="4680"/>
          <w:tab w:val="left" w:pos="5040"/>
          <w:tab w:val="left" w:pos="5760"/>
          <w:tab w:val="left" w:pos="6480"/>
          <w:tab w:val="left" w:pos="7200"/>
          <w:tab w:val="left" w:pos="7920"/>
          <w:tab w:val="left" w:pos="8636"/>
          <w:tab w:val="right" w:pos="9360"/>
        </w:tabs>
        <w:rPr>
          <w:rFonts w:ascii="Times New Roman" w:cs="Times New Roman"/>
          <w:sz w:val="20"/>
          <w:szCs w:val="20"/>
          <w:lang w:val="en-US"/>
        </w:rPr>
      </w:pPr>
      <w:r>
        <w:rPr>
          <w:lang w:val="en-US"/>
        </w:rPr>
        <w:tab/>
        <w:t xml:space="preserve">   </w:t>
      </w:r>
      <w:r>
        <w:rPr>
          <w:rStyle w:val="FootnoteReference"/>
        </w:rPr>
        <w:footnoteRef/>
      </w:r>
      <w:r>
        <w:t xml:space="preserve"> </w:t>
      </w:r>
      <w:r>
        <w:rPr>
          <w:rFonts w:ascii="Times New Roman" w:cs="Times New Roman"/>
          <w:sz w:val="20"/>
          <w:szCs w:val="20"/>
          <w:lang w:val="en-US"/>
        </w:rPr>
        <w:t xml:space="preserve">A strong majority of U.S. courts continue to follow the traditional, </w:t>
      </w:r>
      <w:proofErr w:type="spellStart"/>
      <w:r>
        <w:rPr>
          <w:rFonts w:ascii="Times New Roman" w:cs="Times New Roman"/>
          <w:sz w:val="20"/>
          <w:szCs w:val="20"/>
          <w:lang w:val="en-US"/>
        </w:rPr>
        <w:t>textualist</w:t>
      </w:r>
      <w:proofErr w:type="spellEnd"/>
      <w:r>
        <w:rPr>
          <w:rFonts w:ascii="Times New Roman" w:cs="Times New Roman"/>
          <w:sz w:val="20"/>
          <w:szCs w:val="20"/>
          <w:lang w:val="en-US"/>
        </w:rPr>
        <w:t xml:space="preserve"> or “formalist,” approach to contract interpretation. A state-by-state survey of recent court decisions shows that thirty-eight states follow the </w:t>
      </w:r>
      <w:proofErr w:type="spellStart"/>
      <w:r>
        <w:rPr>
          <w:rFonts w:ascii="Times New Roman" w:cs="Times New Roman"/>
          <w:sz w:val="20"/>
          <w:szCs w:val="20"/>
          <w:lang w:val="en-US"/>
        </w:rPr>
        <w:t>textualist</w:t>
      </w:r>
      <w:proofErr w:type="spellEnd"/>
      <w:r>
        <w:rPr>
          <w:rFonts w:ascii="Times New Roman" w:cs="Times New Roman"/>
          <w:sz w:val="20"/>
          <w:szCs w:val="20"/>
          <w:lang w:val="en-US"/>
        </w:rPr>
        <w:t xml:space="preserve"> approach to interpretation.  Nine states, joined by the Uniform Commercial Code for sales cases (hereinafter UCC) and the Restatement (Second) of Contracts, have adopted a </w:t>
      </w:r>
      <w:proofErr w:type="spellStart"/>
      <w:r>
        <w:rPr>
          <w:rFonts w:ascii="Times New Roman" w:cs="Times New Roman"/>
          <w:sz w:val="20"/>
          <w:szCs w:val="20"/>
          <w:lang w:val="en-US"/>
        </w:rPr>
        <w:t>contextualist</w:t>
      </w:r>
      <w:proofErr w:type="spellEnd"/>
      <w:r>
        <w:rPr>
          <w:rFonts w:ascii="Times New Roman" w:cs="Times New Roman"/>
          <w:sz w:val="20"/>
          <w:szCs w:val="20"/>
          <w:lang w:val="en-US"/>
        </w:rPr>
        <w:t xml:space="preserve"> or anti-formalist</w:t>
      </w:r>
      <w:r>
        <w:rPr>
          <w:rFonts w:ascii="WP TypographicSymbols" w:hAnsi="WP TypographicSymbols" w:cs="WP TypographicSymbols"/>
          <w:sz w:val="20"/>
          <w:szCs w:val="20"/>
          <w:lang w:val="en-US"/>
        </w:rPr>
        <w:t xml:space="preserve"> </w:t>
      </w:r>
      <w:r>
        <w:rPr>
          <w:rFonts w:ascii="Times New Roman" w:cs="Times New Roman"/>
          <w:sz w:val="20"/>
          <w:szCs w:val="20"/>
          <w:lang w:val="en-US"/>
        </w:rPr>
        <w:t>interpretive regime. The remaining states’ doctrines are indeterminate.  See UCC §§ 2-202, 2-208, 1-205; R</w:t>
      </w:r>
      <w:r>
        <w:rPr>
          <w:rFonts w:ascii="Times New Roman" w:cs="Times New Roman"/>
          <w:smallCaps/>
          <w:sz w:val="20"/>
          <w:szCs w:val="20"/>
          <w:lang w:val="en-US"/>
        </w:rPr>
        <w:t>estatement (second) of Contracts</w:t>
      </w:r>
      <w:r>
        <w:rPr>
          <w:rFonts w:ascii="Times New Roman" w:cs="Times New Roman"/>
          <w:sz w:val="20"/>
          <w:szCs w:val="20"/>
          <w:lang w:val="en-US"/>
        </w:rPr>
        <w:t xml:space="preserve"> §§ 200, 209; Robert E. Scott, State-by-State Survey (Oct. 7, 2009) (on file). </w:t>
      </w:r>
    </w:p>
    <w:p w14:paraId="061B2B8E" w14:textId="77777777" w:rsidR="00A1412B" w:rsidRDefault="00A1412B" w:rsidP="002B5877">
      <w:pPr>
        <w:pStyle w:val="FootnoteText"/>
      </w:pPr>
    </w:p>
  </w:footnote>
  <w:footnote w:id="5">
    <w:p w14:paraId="440035CE" w14:textId="1B4F22D9" w:rsidR="00A1412B" w:rsidRPr="009F6C2C" w:rsidRDefault="00A1412B" w:rsidP="009F6C2C">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40"/>
          <w:tab w:val="left" w:pos="9360"/>
        </w:tabs>
        <w:rPr>
          <w:rFonts w:ascii="Times New Roman" w:hAnsi="Times New Roman" w:cs="Times New Roman"/>
          <w:sz w:val="20"/>
          <w:szCs w:val="20"/>
        </w:rPr>
      </w:pPr>
      <w:r>
        <w:rPr>
          <w:sz w:val="20"/>
          <w:szCs w:val="20"/>
        </w:rPr>
        <w:tab/>
      </w:r>
      <w:r w:rsidRPr="009F6C2C">
        <w:rPr>
          <w:rStyle w:val="FootnoteReference"/>
          <w:sz w:val="20"/>
          <w:szCs w:val="20"/>
        </w:rPr>
        <w:footnoteRef/>
      </w:r>
      <w:r w:rsidRPr="009F6C2C">
        <w:rPr>
          <w:sz w:val="20"/>
          <w:szCs w:val="20"/>
        </w:rPr>
        <w:t xml:space="preserve"> </w:t>
      </w:r>
      <w:r w:rsidRPr="00A23567">
        <w:rPr>
          <w:rFonts w:ascii="Times New Roman" w:hAnsi="Times New Roman" w:cs="Times New Roman"/>
          <w:sz w:val="20"/>
          <w:szCs w:val="20"/>
        </w:rPr>
        <w:t xml:space="preserve">This interpretive approach, followed by a substantial majority of common law courts, privileges integrated contracts over context evidence that arguably suggests the agreement contained additional or different terms or meanings. </w:t>
      </w:r>
      <w:proofErr w:type="spellStart"/>
      <w:r w:rsidRPr="00A23567">
        <w:rPr>
          <w:rFonts w:ascii="Times New Roman" w:hAnsi="Times New Roman" w:cs="Times New Roman"/>
          <w:sz w:val="20"/>
          <w:szCs w:val="20"/>
        </w:rPr>
        <w:t>Textualist</w:t>
      </w:r>
      <w:proofErr w:type="spellEnd"/>
      <w:r w:rsidRPr="00A23567">
        <w:rPr>
          <w:rFonts w:ascii="Times New Roman" w:hAnsi="Times New Roman" w:cs="Times New Roman"/>
          <w:sz w:val="20"/>
          <w:szCs w:val="20"/>
        </w:rPr>
        <w:t xml:space="preserve"> jurisdictions, such as New York, use a “hard” </w:t>
      </w:r>
      <w:proofErr w:type="spellStart"/>
      <w:r w:rsidRPr="00A23567">
        <w:rPr>
          <w:rFonts w:ascii="Times New Roman" w:hAnsi="Times New Roman" w:cs="Times New Roman"/>
          <w:sz w:val="20"/>
          <w:szCs w:val="20"/>
        </w:rPr>
        <w:t>parol</w:t>
      </w:r>
      <w:proofErr w:type="spellEnd"/>
      <w:r w:rsidRPr="00A23567">
        <w:rPr>
          <w:rFonts w:ascii="Times New Roman" w:hAnsi="Times New Roman" w:cs="Times New Roman"/>
          <w:sz w:val="20"/>
          <w:szCs w:val="20"/>
        </w:rPr>
        <w:t xml:space="preserve"> evidence rule that gives presumptively conclusive effect to merger or integration clauses, and, in their absence, presume that the contract is fully integrated if it appears final and complete on its face.</w:t>
      </w:r>
      <w:r w:rsidRPr="00A23567">
        <w:rPr>
          <w:rFonts w:ascii="Times New Roman" w:hAnsi="Times New Roman" w:cs="Times New Roman"/>
          <w:i/>
          <w:iCs/>
          <w:sz w:val="20"/>
          <w:szCs w:val="20"/>
        </w:rPr>
        <w:t xml:space="preserve"> See, e.g.</w:t>
      </w:r>
      <w:r w:rsidRPr="00A23567">
        <w:rPr>
          <w:rFonts w:ascii="Times New Roman" w:hAnsi="Times New Roman" w:cs="Times New Roman"/>
          <w:sz w:val="20"/>
          <w:szCs w:val="20"/>
        </w:rPr>
        <w:t xml:space="preserve">, Morgan Stanley High Yield Sec., Inc. v. Seven Circle Gaming Corp., 269 F. Supp. 2d 206 (S.D.N.Y. 2003) (holding that the prior agreement is excluded where the writing appears in view of thoroughness and specificity to embody a final agreement); </w:t>
      </w:r>
      <w:proofErr w:type="spellStart"/>
      <w:r w:rsidRPr="00A23567">
        <w:rPr>
          <w:rFonts w:ascii="Times New Roman" w:hAnsi="Times New Roman" w:cs="Times New Roman"/>
          <w:sz w:val="20"/>
          <w:szCs w:val="20"/>
        </w:rPr>
        <w:t>Intershoe</w:t>
      </w:r>
      <w:proofErr w:type="spellEnd"/>
      <w:r w:rsidRPr="00A23567">
        <w:rPr>
          <w:rFonts w:ascii="Times New Roman" w:hAnsi="Times New Roman" w:cs="Times New Roman"/>
          <w:sz w:val="20"/>
          <w:szCs w:val="20"/>
        </w:rPr>
        <w:t xml:space="preserve">, Inc. v. Bankers Trust Co., 571 N.E.2d 641, 644 (N.Y. 1991) (same); </w:t>
      </w:r>
      <w:proofErr w:type="spellStart"/>
      <w:r w:rsidRPr="00A23567">
        <w:rPr>
          <w:rFonts w:ascii="Times New Roman" w:hAnsi="Times New Roman" w:cs="Times New Roman"/>
          <w:sz w:val="20"/>
          <w:szCs w:val="20"/>
        </w:rPr>
        <w:t>Mitchill</w:t>
      </w:r>
      <w:proofErr w:type="spellEnd"/>
      <w:r w:rsidRPr="00A23567">
        <w:rPr>
          <w:rFonts w:ascii="Times New Roman" w:hAnsi="Times New Roman" w:cs="Times New Roman"/>
          <w:sz w:val="20"/>
          <w:szCs w:val="20"/>
        </w:rPr>
        <w:t xml:space="preserve"> v. Lath, 160 N.E. 646, 646-48 (N.Y. 1928) (upholding the ”four corners “presumption and excluding evidence of collateral agreement to land sale contract).   In addition, merger clauses are given virtually conclusive effect in New York.   </w:t>
      </w:r>
      <w:r w:rsidRPr="00A23567">
        <w:rPr>
          <w:rFonts w:ascii="Times New Roman" w:hAnsi="Times New Roman" w:cs="Times New Roman"/>
          <w:i/>
          <w:iCs/>
          <w:sz w:val="20"/>
          <w:szCs w:val="20"/>
        </w:rPr>
        <w:t>See</w:t>
      </w:r>
      <w:r w:rsidRPr="00A23567">
        <w:rPr>
          <w:rFonts w:ascii="Times New Roman" w:hAnsi="Times New Roman" w:cs="Times New Roman"/>
          <w:sz w:val="20"/>
          <w:szCs w:val="20"/>
        </w:rPr>
        <w:t xml:space="preserve"> Tempo </w:t>
      </w:r>
      <w:proofErr w:type="spellStart"/>
      <w:r w:rsidRPr="00A23567">
        <w:rPr>
          <w:rFonts w:ascii="Times New Roman" w:hAnsi="Times New Roman" w:cs="Times New Roman"/>
          <w:sz w:val="20"/>
          <w:szCs w:val="20"/>
        </w:rPr>
        <w:t>Shain</w:t>
      </w:r>
      <w:proofErr w:type="spellEnd"/>
      <w:r w:rsidRPr="00A23567">
        <w:rPr>
          <w:rFonts w:ascii="Times New Roman" w:hAnsi="Times New Roman" w:cs="Times New Roman"/>
          <w:sz w:val="20"/>
          <w:szCs w:val="20"/>
        </w:rPr>
        <w:t xml:space="preserve"> Corp. v. </w:t>
      </w:r>
      <w:proofErr w:type="spellStart"/>
      <w:r w:rsidRPr="00A23567">
        <w:rPr>
          <w:rFonts w:ascii="Times New Roman" w:hAnsi="Times New Roman" w:cs="Times New Roman"/>
          <w:sz w:val="20"/>
          <w:szCs w:val="20"/>
        </w:rPr>
        <w:t>Bertek</w:t>
      </w:r>
      <w:proofErr w:type="spellEnd"/>
      <w:r w:rsidRPr="00A23567">
        <w:rPr>
          <w:rFonts w:ascii="Times New Roman" w:hAnsi="Times New Roman" w:cs="Times New Roman"/>
          <w:sz w:val="20"/>
          <w:szCs w:val="20"/>
        </w:rPr>
        <w:t xml:space="preserve">, Inc., 120 F.3d 16, 21 (2d Cir. 1997) (“Ordinarily, a merger clause provision indicates that the subject agreement is completely integrated, and </w:t>
      </w:r>
      <w:proofErr w:type="spellStart"/>
      <w:r w:rsidRPr="00A23567">
        <w:rPr>
          <w:rFonts w:ascii="Times New Roman" w:hAnsi="Times New Roman" w:cs="Times New Roman"/>
          <w:sz w:val="20"/>
          <w:szCs w:val="20"/>
        </w:rPr>
        <w:t>parol</w:t>
      </w:r>
      <w:proofErr w:type="spellEnd"/>
      <w:r w:rsidRPr="00A23567">
        <w:rPr>
          <w:rFonts w:ascii="Times New Roman" w:hAnsi="Times New Roman" w:cs="Times New Roman"/>
          <w:sz w:val="20"/>
          <w:szCs w:val="20"/>
        </w:rPr>
        <w:t xml:space="preserve"> evidence is precluded from altering or interpreting the agreement.”); Norman </w:t>
      </w:r>
      <w:proofErr w:type="spellStart"/>
      <w:r w:rsidRPr="00A23567">
        <w:rPr>
          <w:rFonts w:ascii="Times New Roman" w:hAnsi="Times New Roman" w:cs="Times New Roman"/>
          <w:sz w:val="20"/>
          <w:szCs w:val="20"/>
        </w:rPr>
        <w:t>Bobrow</w:t>
      </w:r>
      <w:proofErr w:type="spellEnd"/>
      <w:r w:rsidRPr="00A23567">
        <w:rPr>
          <w:rFonts w:ascii="Times New Roman" w:hAnsi="Times New Roman" w:cs="Times New Roman"/>
          <w:sz w:val="20"/>
          <w:szCs w:val="20"/>
        </w:rPr>
        <w:t xml:space="preserve"> &amp; Co. v. Loft Realty Co., 577 N.Y.S.2d 36, 36 (App. Div. 1991) (“</w:t>
      </w:r>
      <w:proofErr w:type="spellStart"/>
      <w:r w:rsidRPr="00A23567">
        <w:rPr>
          <w:rStyle w:val="documentbody"/>
          <w:rFonts w:ascii="Times New Roman" w:hAnsi="Times New Roman" w:cs="Times New Roman"/>
          <w:sz w:val="20"/>
          <w:szCs w:val="20"/>
        </w:rPr>
        <w:t>Parol</w:t>
      </w:r>
      <w:proofErr w:type="spellEnd"/>
      <w:r w:rsidRPr="00A23567">
        <w:rPr>
          <w:rStyle w:val="documentbody"/>
          <w:rFonts w:ascii="Times New Roman" w:hAnsi="Times New Roman" w:cs="Times New Roman"/>
          <w:sz w:val="20"/>
          <w:szCs w:val="20"/>
        </w:rPr>
        <w:t xml:space="preserve"> evidence is not admissible to vary the</w:t>
      </w:r>
      <w:r w:rsidRPr="009F6C2C">
        <w:rPr>
          <w:rStyle w:val="documentbody"/>
          <w:rFonts w:ascii="Times New Roman" w:hAnsi="Times New Roman" w:cs="Times New Roman"/>
          <w:sz w:val="20"/>
          <w:szCs w:val="20"/>
        </w:rPr>
        <w:t xml:space="preserve"> terms of a written contract containing a merger clause.”).</w:t>
      </w:r>
    </w:p>
    <w:p w14:paraId="5668B418" w14:textId="44FFD6F6" w:rsidR="00A1412B" w:rsidRPr="009F6C2C" w:rsidRDefault="00A1412B" w:rsidP="009F6C2C">
      <w:pPr>
        <w:pStyle w:val="FootnoteText"/>
        <w:spacing w:line="240" w:lineRule="auto"/>
        <w:rPr>
          <w:sz w:val="20"/>
          <w:szCs w:val="20"/>
        </w:rPr>
      </w:pPr>
    </w:p>
  </w:footnote>
  <w:footnote w:id="6">
    <w:p w14:paraId="45DAA027" w14:textId="42D5754F" w:rsidR="00A1412B" w:rsidRDefault="00A1412B">
      <w:pPr>
        <w:pStyle w:val="FootnoteText"/>
      </w:pPr>
      <w:r w:rsidRPr="00F011A1">
        <w:rPr>
          <w:rStyle w:val="FootnoteReference"/>
          <w:sz w:val="20"/>
          <w:szCs w:val="20"/>
        </w:rPr>
        <w:footnoteRef/>
      </w:r>
      <w:r>
        <w:t xml:space="preserve"> </w:t>
      </w:r>
      <w:r w:rsidRPr="00F011A1">
        <w:rPr>
          <w:sz w:val="20"/>
          <w:szCs w:val="20"/>
        </w:rPr>
        <w:t>See cases cited in note 6 infra.</w:t>
      </w:r>
    </w:p>
  </w:footnote>
  <w:footnote w:id="7">
    <w:p w14:paraId="0D0E3DEA" w14:textId="6C00505D" w:rsidR="00A1412B" w:rsidRPr="00F011A1" w:rsidRDefault="00A1412B" w:rsidP="00F011A1">
      <w:pPr>
        <w:pStyle w:val="FootNote"/>
        <w:rPr>
          <w:rFonts w:ascii="Times New Roman" w:hAnsi="Times New Roman"/>
          <w:sz w:val="20"/>
        </w:rPr>
      </w:pPr>
      <w:r>
        <w:tab/>
      </w:r>
      <w:r>
        <w:tab/>
        <w:t xml:space="preserve">    </w:t>
      </w:r>
      <w:r>
        <w:rPr>
          <w:rStyle w:val="FootnoteReference"/>
        </w:rPr>
        <w:footnoteRef/>
      </w:r>
      <w:r>
        <w:t xml:space="preserve"> </w:t>
      </w:r>
      <w:r>
        <w:rPr>
          <w:rFonts w:ascii="Times New Roman" w:hAnsi="Times New Roman"/>
          <w:sz w:val="20"/>
        </w:rPr>
        <w:t xml:space="preserve">The UCC adopts a broadly </w:t>
      </w:r>
      <w:proofErr w:type="spellStart"/>
      <w:r>
        <w:rPr>
          <w:rFonts w:ascii="Times New Roman" w:hAnsi="Times New Roman"/>
          <w:sz w:val="20"/>
        </w:rPr>
        <w:t>contextualist</w:t>
      </w:r>
      <w:proofErr w:type="spellEnd"/>
      <w:r>
        <w:rPr>
          <w:rFonts w:ascii="Times New Roman" w:hAnsi="Times New Roman"/>
          <w:sz w:val="20"/>
        </w:rPr>
        <w:t xml:space="preserve"> approach to interpretation.  </w:t>
      </w:r>
      <w:r w:rsidRPr="00F011A1">
        <w:rPr>
          <w:rFonts w:ascii="Times New Roman" w:hAnsi="Times New Roman"/>
          <w:i/>
          <w:sz w:val="20"/>
        </w:rPr>
        <w:t>See generally</w:t>
      </w:r>
      <w:r w:rsidRPr="00F011A1">
        <w:rPr>
          <w:rFonts w:ascii="Times New Roman" w:hAnsi="Times New Roman"/>
          <w:sz w:val="20"/>
        </w:rPr>
        <w:t xml:space="preserve"> U.C.C. § 2-202 </w:t>
      </w:r>
      <w:proofErr w:type="spellStart"/>
      <w:r w:rsidRPr="00F011A1">
        <w:rPr>
          <w:rFonts w:ascii="Times New Roman" w:hAnsi="Times New Roman"/>
          <w:sz w:val="20"/>
        </w:rPr>
        <w:t>cmts</w:t>
      </w:r>
      <w:proofErr w:type="spellEnd"/>
      <w:r w:rsidRPr="00F011A1">
        <w:rPr>
          <w:rFonts w:ascii="Times New Roman" w:hAnsi="Times New Roman"/>
          <w:sz w:val="20"/>
        </w:rPr>
        <w:t xml:space="preserve">. </w:t>
      </w:r>
      <w:proofErr w:type="gramStart"/>
      <w:r w:rsidRPr="00F011A1">
        <w:rPr>
          <w:rFonts w:ascii="Times New Roman" w:hAnsi="Times New Roman"/>
          <w:sz w:val="20"/>
        </w:rPr>
        <w:t xml:space="preserve">1(b), 2; § 1-303 </w:t>
      </w:r>
      <w:proofErr w:type="spellStart"/>
      <w:r w:rsidRPr="00F011A1">
        <w:rPr>
          <w:rFonts w:ascii="Times New Roman" w:hAnsi="Times New Roman"/>
          <w:sz w:val="20"/>
        </w:rPr>
        <w:t>cmt</w:t>
      </w:r>
      <w:proofErr w:type="spellEnd"/>
      <w:r w:rsidRPr="00F011A1">
        <w:rPr>
          <w:rFonts w:ascii="Times New Roman" w:hAnsi="Times New Roman"/>
          <w:sz w:val="20"/>
        </w:rPr>
        <w:t>.</w:t>
      </w:r>
      <w:proofErr w:type="gramEnd"/>
      <w:r w:rsidRPr="00F011A1">
        <w:rPr>
          <w:rFonts w:ascii="Times New Roman" w:hAnsi="Times New Roman"/>
          <w:sz w:val="20"/>
        </w:rPr>
        <w:t xml:space="preserve"> 1. Article 2 of the Uniform Commercial Code, adopted in all states except Louisiana, governs all “transactions in </w:t>
      </w:r>
      <w:proofErr w:type="gramStart"/>
      <w:r w:rsidRPr="00F011A1">
        <w:rPr>
          <w:rFonts w:ascii="Times New Roman" w:hAnsi="Times New Roman"/>
          <w:sz w:val="20"/>
        </w:rPr>
        <w:t>goods[</w:t>
      </w:r>
      <w:proofErr w:type="gramEnd"/>
      <w:r w:rsidRPr="00F011A1">
        <w:rPr>
          <w:rFonts w:ascii="Times New Roman" w:hAnsi="Times New Roman"/>
          <w:sz w:val="20"/>
        </w:rPr>
        <w:t>.]”  U.C.C. § 2-102.</w:t>
      </w:r>
    </w:p>
    <w:p w14:paraId="7669E444" w14:textId="77777777" w:rsidR="00A1412B" w:rsidRPr="00A23567" w:rsidRDefault="00A1412B" w:rsidP="00F01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32"/>
        <w:rPr>
          <w:rFonts w:ascii="Times New Roman" w:hAnsi="Times New Roman" w:cs="Times New Roman"/>
          <w:sz w:val="20"/>
          <w:szCs w:val="20"/>
        </w:rPr>
      </w:pPr>
      <w:r w:rsidRPr="00A23567">
        <w:rPr>
          <w:rFonts w:ascii="Times New Roman" w:hAnsi="Times New Roman" w:cs="Times New Roman"/>
          <w:sz w:val="20"/>
          <w:szCs w:val="20"/>
        </w:rPr>
        <w:t>.</w:t>
      </w:r>
      <w:r w:rsidRPr="00A23567">
        <w:rPr>
          <w:rFonts w:ascii="Times New Roman" w:hAnsi="Times New Roman" w:cs="Times New Roman"/>
          <w:sz w:val="20"/>
          <w:szCs w:val="20"/>
        </w:rPr>
        <w:fldChar w:fldCharType="begin"/>
      </w:r>
      <w:r w:rsidRPr="00A23567">
        <w:rPr>
          <w:rFonts w:ascii="Times New Roman" w:hAnsi="Times New Roman" w:cs="Times New Roman"/>
          <w:sz w:val="20"/>
          <w:szCs w:val="20"/>
        </w:rPr>
        <w:instrText>ADVANCE \d 0</w:instrText>
      </w:r>
      <w:r w:rsidRPr="00A23567">
        <w:rPr>
          <w:rFonts w:ascii="Times New Roman" w:hAnsi="Times New Roman" w:cs="Times New Roman"/>
          <w:sz w:val="20"/>
          <w:szCs w:val="20"/>
        </w:rPr>
        <w:fldChar w:fldCharType="end"/>
      </w:r>
    </w:p>
    <w:p w14:paraId="5B8C59FD" w14:textId="6F08462A" w:rsidR="00A1412B" w:rsidRDefault="00A1412B">
      <w:pPr>
        <w:pStyle w:val="FootnoteText"/>
      </w:pPr>
    </w:p>
  </w:footnote>
  <w:footnote w:id="8">
    <w:p w14:paraId="53A891EF" w14:textId="0F93412D" w:rsidR="00A1412B" w:rsidRPr="006827E1" w:rsidRDefault="00A1412B" w:rsidP="006827E1">
      <w:pPr>
        <w:rPr>
          <w:sz w:val="20"/>
          <w:szCs w:val="20"/>
        </w:rPr>
      </w:pPr>
      <w:r>
        <w:tab/>
      </w:r>
      <w:r>
        <w:rPr>
          <w:rStyle w:val="FootnoteReference"/>
        </w:rPr>
        <w:footnoteRef/>
      </w:r>
      <w:r>
        <w:t xml:space="preserve"> </w:t>
      </w:r>
      <w:proofErr w:type="spellStart"/>
      <w:r w:rsidRPr="006827E1">
        <w:rPr>
          <w:sz w:val="20"/>
          <w:szCs w:val="20"/>
        </w:rPr>
        <w:t>Contextualists</w:t>
      </w:r>
      <w:proofErr w:type="spellEnd"/>
      <w:r w:rsidRPr="006827E1">
        <w:rPr>
          <w:sz w:val="20"/>
          <w:szCs w:val="20"/>
        </w:rPr>
        <w:t xml:space="preserve"> argue that formal interpretive rules that exclude certain categories of extrinsic evidence deprive the fact finder of indispensable information relevant to deciding the case and thus can distort the court’s assessment of what the parties meant by their agreement.  </w:t>
      </w:r>
      <w:proofErr w:type="spellStart"/>
      <w:r w:rsidRPr="006827E1">
        <w:rPr>
          <w:sz w:val="20"/>
          <w:szCs w:val="20"/>
        </w:rPr>
        <w:t>Contextualist</w:t>
      </w:r>
      <w:proofErr w:type="spellEnd"/>
      <w:r w:rsidRPr="006827E1">
        <w:rPr>
          <w:sz w:val="20"/>
          <w:szCs w:val="20"/>
        </w:rPr>
        <w:t xml:space="preserve"> jurisdictions, such as California, carry this view to its logical limit and reject the notion that words in a contract can have a plain or unambiguous—context free—meaning at all.  By the same logic they favor a soft </w:t>
      </w:r>
      <w:proofErr w:type="spellStart"/>
      <w:r w:rsidRPr="006827E1">
        <w:rPr>
          <w:sz w:val="20"/>
          <w:szCs w:val="20"/>
        </w:rPr>
        <w:t>parol</w:t>
      </w:r>
      <w:proofErr w:type="spellEnd"/>
      <w:r w:rsidRPr="006827E1">
        <w:rPr>
          <w:sz w:val="20"/>
          <w:szCs w:val="20"/>
        </w:rPr>
        <w:t xml:space="preserve"> evidence rule. Here the test for integration admits extrinsic evidence notwithstanding an unambiguous merger clause declaring the contract to be an integrated writing or, absent such a clause, notwithstanding the fact that the writing appears final and complete on its face. Pac. Gas &amp; Elec. Co. v. G.W. Thomas Drayage &amp; Rigging Co., 442 P.2d 641, 645 (1968) (</w:t>
      </w:r>
      <w:proofErr w:type="gramStart"/>
      <w:r w:rsidRPr="006827E1">
        <w:rPr>
          <w:sz w:val="20"/>
          <w:szCs w:val="20"/>
        </w:rPr>
        <w:t>“ [</w:t>
      </w:r>
      <w:proofErr w:type="gramEnd"/>
      <w:r w:rsidRPr="006827E1">
        <w:rPr>
          <w:sz w:val="20"/>
          <w:szCs w:val="20"/>
        </w:rPr>
        <w:t>R]</w:t>
      </w:r>
      <w:proofErr w:type="spellStart"/>
      <w:r w:rsidRPr="006827E1">
        <w:rPr>
          <w:sz w:val="20"/>
          <w:szCs w:val="20"/>
        </w:rPr>
        <w:t>ational</w:t>
      </w:r>
      <w:proofErr w:type="spellEnd"/>
      <w:r w:rsidRPr="006827E1">
        <w:rPr>
          <w:sz w:val="20"/>
          <w:szCs w:val="20"/>
        </w:rPr>
        <w:t xml:space="preserve"> interpretation requires at least a preliminary consideration of all credible evidence offered to prove the intention of the parties.”); Masterson v. Sine, 436 P.2d 561, 564 (1968) (admitting </w:t>
      </w:r>
      <w:proofErr w:type="spellStart"/>
      <w:r w:rsidRPr="006827E1">
        <w:rPr>
          <w:sz w:val="20"/>
          <w:szCs w:val="20"/>
        </w:rPr>
        <w:t>parol</w:t>
      </w:r>
      <w:proofErr w:type="spellEnd"/>
      <w:r w:rsidRPr="006827E1">
        <w:rPr>
          <w:sz w:val="20"/>
          <w:szCs w:val="20"/>
        </w:rPr>
        <w:t xml:space="preserve"> evidence to vary terms of deed on ground that “evidence of oral collateral agreements should be excluded only when the fact finder is likely to be misled”).  See also, Int’l Milling co. v. </w:t>
      </w:r>
      <w:proofErr w:type="spellStart"/>
      <w:r w:rsidRPr="006827E1">
        <w:rPr>
          <w:sz w:val="20"/>
          <w:szCs w:val="20"/>
        </w:rPr>
        <w:t>Hachmeister</w:t>
      </w:r>
      <w:proofErr w:type="spellEnd"/>
      <w:r w:rsidRPr="006827E1">
        <w:rPr>
          <w:sz w:val="20"/>
          <w:szCs w:val="20"/>
        </w:rPr>
        <w:t xml:space="preserve">, Inc., 110 A. 2d 186 (1955) (extrinsic evidence of negotiations and antecedent agreements admissible to show buyer had not assented to the contract as a complete integration of the contract despite the presence of an express merger clause); and  3 Corbin Contracts, §578 (199-) (“The fact that a written document contains one of these express provisions does not prove that the document itself was ever assented to or ever became operative as a contract.  Neither does it exclude evidence that the document was not in fact assented to and therefore never became operative”). </w:t>
      </w:r>
    </w:p>
    <w:p w14:paraId="34EF90ED" w14:textId="571820A1" w:rsidR="00A1412B" w:rsidRPr="000150F8" w:rsidRDefault="00A1412B" w:rsidP="004F39E5">
      <w:pPr>
        <w:pStyle w:val="FootnoteText"/>
        <w:spacing w:line="240" w:lineRule="auto"/>
        <w:rPr>
          <w:sz w:val="20"/>
          <w:szCs w:val="20"/>
        </w:rPr>
      </w:pPr>
    </w:p>
  </w:footnote>
  <w:footnote w:id="9">
    <w:p w14:paraId="11815A90" w14:textId="60BDB56A" w:rsidR="00A1412B" w:rsidRPr="0092710E" w:rsidRDefault="00A1412B" w:rsidP="0092710E">
      <w:pPr>
        <w:tabs>
          <w:tab w:val="left" w:pos="-42"/>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s>
        <w:ind w:left="48" w:right="48"/>
        <w:rPr>
          <w:rFonts w:ascii="Times New Roman" w:hAnsi="Times New Roman" w:cs="Times New Roman"/>
          <w:color w:val="000000"/>
          <w:sz w:val="20"/>
          <w:szCs w:val="20"/>
        </w:rPr>
      </w:pPr>
      <w:r>
        <w:tab/>
      </w:r>
      <w:r>
        <w:rPr>
          <w:rStyle w:val="FootnoteReference"/>
        </w:rPr>
        <w:footnoteRef/>
      </w:r>
      <w:r>
        <w:t xml:space="preserve"> </w:t>
      </w:r>
      <w:r w:rsidRPr="0092710E">
        <w:rPr>
          <w:rFonts w:ascii="Times New Roman" w:hAnsi="Times New Roman" w:cs="Times New Roman"/>
          <w:sz w:val="20"/>
          <w:szCs w:val="20"/>
        </w:rPr>
        <w:t xml:space="preserve">The scholarly debate is both heated and voluminous. </w:t>
      </w:r>
      <w:proofErr w:type="spellStart"/>
      <w:r w:rsidRPr="0092710E">
        <w:rPr>
          <w:rFonts w:ascii="Times New Roman" w:hAnsi="Times New Roman" w:cs="Times New Roman"/>
          <w:sz w:val="20"/>
          <w:szCs w:val="20"/>
        </w:rPr>
        <w:t>Textualist</w:t>
      </w:r>
      <w:proofErr w:type="spellEnd"/>
      <w:r w:rsidRPr="0092710E">
        <w:rPr>
          <w:rFonts w:ascii="Times New Roman" w:hAnsi="Times New Roman" w:cs="Times New Roman"/>
          <w:sz w:val="20"/>
          <w:szCs w:val="20"/>
        </w:rPr>
        <w:t xml:space="preserve"> scholars emphasize the importance of bespoke design of contracts and minimize the role of courts in reassessing that design in litigation.  For discussion, see Alan Schwartz &amp; Robert E. Scott, </w:t>
      </w:r>
      <w:r w:rsidRPr="0092710E">
        <w:rPr>
          <w:rFonts w:ascii="Times New Roman" w:hAnsi="Times New Roman" w:cs="Times New Roman"/>
          <w:i/>
          <w:iCs/>
          <w:sz w:val="20"/>
          <w:szCs w:val="20"/>
        </w:rPr>
        <w:t>Contract Theory and the Limits of Contract Law</w:t>
      </w:r>
      <w:r w:rsidRPr="0092710E">
        <w:rPr>
          <w:rFonts w:ascii="Times New Roman" w:hAnsi="Times New Roman" w:cs="Times New Roman"/>
          <w:sz w:val="20"/>
          <w:szCs w:val="20"/>
        </w:rPr>
        <w:t xml:space="preserve">, 113 </w:t>
      </w:r>
      <w:r w:rsidRPr="0092710E">
        <w:rPr>
          <w:rFonts w:ascii="Times New Roman" w:hAnsi="Times New Roman" w:cs="Times New Roman"/>
          <w:smallCaps/>
          <w:sz w:val="20"/>
          <w:szCs w:val="20"/>
        </w:rPr>
        <w:t>Yale L.J.</w:t>
      </w:r>
      <w:r w:rsidRPr="0092710E">
        <w:rPr>
          <w:rFonts w:ascii="Times New Roman" w:hAnsi="Times New Roman" w:cs="Times New Roman"/>
          <w:sz w:val="20"/>
          <w:szCs w:val="20"/>
        </w:rPr>
        <w:t xml:space="preserve"> 541 (2003); Jody S. Kraus &amp; Robert E. Scott, </w:t>
      </w:r>
      <w:r w:rsidRPr="0092710E">
        <w:rPr>
          <w:rFonts w:ascii="Times New Roman" w:hAnsi="Times New Roman" w:cs="Times New Roman"/>
          <w:i/>
          <w:iCs/>
          <w:sz w:val="20"/>
          <w:szCs w:val="20"/>
        </w:rPr>
        <w:t xml:space="preserve">Contract Design and the Structure of Contractual Intent, </w:t>
      </w:r>
      <w:r w:rsidRPr="0092710E">
        <w:rPr>
          <w:rFonts w:ascii="Times New Roman" w:hAnsi="Times New Roman" w:cs="Times New Roman"/>
          <w:sz w:val="20"/>
          <w:szCs w:val="20"/>
        </w:rPr>
        <w:t xml:space="preserve">84 N.Y.U. L. Rev. 1023 (2009); Alan Schwartz &amp; Robert E. Scott, </w:t>
      </w:r>
      <w:r w:rsidRPr="0092710E">
        <w:rPr>
          <w:rFonts w:ascii="Times New Roman" w:hAnsi="Times New Roman" w:cs="Times New Roman"/>
          <w:i/>
          <w:iCs/>
          <w:sz w:val="20"/>
          <w:szCs w:val="20"/>
        </w:rPr>
        <w:t xml:space="preserve">Contract Interpretation </w:t>
      </w:r>
      <w:proofErr w:type="spellStart"/>
      <w:r w:rsidRPr="0092710E">
        <w:rPr>
          <w:rFonts w:ascii="Times New Roman" w:hAnsi="Times New Roman" w:cs="Times New Roman"/>
          <w:i/>
          <w:iCs/>
          <w:sz w:val="20"/>
          <w:szCs w:val="20"/>
        </w:rPr>
        <w:t>Redux</w:t>
      </w:r>
      <w:proofErr w:type="spellEnd"/>
      <w:r w:rsidRPr="0092710E">
        <w:rPr>
          <w:rFonts w:ascii="Times New Roman" w:hAnsi="Times New Roman" w:cs="Times New Roman"/>
          <w:sz w:val="20"/>
          <w:szCs w:val="20"/>
        </w:rPr>
        <w:t xml:space="preserve">, 119 Yale L.J. 926 (2010 Geoffrey P. Miller, </w:t>
      </w:r>
      <w:r w:rsidRPr="0092710E">
        <w:rPr>
          <w:rFonts w:ascii="Times New Roman" w:hAnsi="Times New Roman" w:cs="Times New Roman"/>
          <w:i/>
          <w:sz w:val="20"/>
          <w:szCs w:val="20"/>
        </w:rPr>
        <w:t xml:space="preserve">Bargaining on the Red-Eye: New Light on Contract Theory, </w:t>
      </w:r>
      <w:r>
        <w:rPr>
          <w:rFonts w:ascii="Times New Roman" w:hAnsi="Times New Roman" w:cs="Times New Roman"/>
          <w:sz w:val="20"/>
          <w:szCs w:val="20"/>
        </w:rPr>
        <w:t>31 Cardozo L. Rev. 1475, 1478</w:t>
      </w:r>
      <w:r w:rsidRPr="0092710E">
        <w:rPr>
          <w:rFonts w:ascii="Times New Roman" w:hAnsi="Times New Roman" w:cs="Times New Roman"/>
          <w:sz w:val="20"/>
          <w:szCs w:val="20"/>
        </w:rPr>
        <w:t xml:space="preserve"> (</w:t>
      </w:r>
      <w:r w:rsidRPr="0092710E">
        <w:rPr>
          <w:rFonts w:ascii="Times New Roman" w:hAnsi="Times New Roman" w:cs="Times New Roman"/>
          <w:color w:val="000000"/>
          <w:sz w:val="20"/>
          <w:szCs w:val="20"/>
        </w:rPr>
        <w:t>concluding that “[t]he revealed preferences of sophisticated parties support arguments by Schwartz, Scott and others that formalistic rules offer superior value for the interpretation and enfo</w:t>
      </w:r>
      <w:r>
        <w:rPr>
          <w:rFonts w:ascii="Times New Roman" w:hAnsi="Times New Roman" w:cs="Times New Roman"/>
          <w:color w:val="000000"/>
          <w:sz w:val="20"/>
          <w:szCs w:val="20"/>
        </w:rPr>
        <w:t>rcement of commercial contracts</w:t>
      </w:r>
      <w:r w:rsidRPr="0092710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92710E">
        <w:rPr>
          <w:rFonts w:ascii="Times New Roman" w:hAnsi="Times New Roman" w:cs="Times New Roman"/>
          <w:sz w:val="20"/>
          <w:szCs w:val="20"/>
        </w:rPr>
        <w:t xml:space="preserve">For the </w:t>
      </w:r>
      <w:proofErr w:type="spellStart"/>
      <w:r w:rsidRPr="0092710E">
        <w:rPr>
          <w:rFonts w:ascii="Times New Roman" w:hAnsi="Times New Roman" w:cs="Times New Roman"/>
          <w:sz w:val="20"/>
          <w:szCs w:val="20"/>
        </w:rPr>
        <w:t>contextualist</w:t>
      </w:r>
      <w:proofErr w:type="spellEnd"/>
      <w:r w:rsidRPr="0092710E">
        <w:rPr>
          <w:rFonts w:ascii="Times New Roman" w:hAnsi="Times New Roman" w:cs="Times New Roman"/>
          <w:sz w:val="20"/>
          <w:szCs w:val="20"/>
        </w:rPr>
        <w:t>, willfully restricting a court’s access to the trove of information bearing on the parties’ real relationship degrades judicial interpretation and frustrates these parties’ efforts to govern their transactions efficiently.</w:t>
      </w:r>
      <w:r>
        <w:rPr>
          <w:rFonts w:ascii="Times New Roman" w:hAnsi="Times New Roman" w:cs="Times New Roman"/>
          <w:sz w:val="20"/>
          <w:szCs w:val="20"/>
        </w:rPr>
        <w:t xml:space="preserve">  </w:t>
      </w:r>
      <w:r w:rsidRPr="0092710E">
        <w:rPr>
          <w:rFonts w:ascii="Times New Roman" w:hAnsi="Times New Roman" w:cs="Times New Roman"/>
          <w:sz w:val="20"/>
          <w:szCs w:val="20"/>
        </w:rPr>
        <w:t xml:space="preserve">For a sampling of the </w:t>
      </w:r>
      <w:proofErr w:type="spellStart"/>
      <w:r w:rsidRPr="0092710E">
        <w:rPr>
          <w:rFonts w:ascii="Times New Roman" w:hAnsi="Times New Roman" w:cs="Times New Roman"/>
          <w:sz w:val="20"/>
          <w:szCs w:val="20"/>
        </w:rPr>
        <w:t>c</w:t>
      </w:r>
      <w:r>
        <w:rPr>
          <w:rFonts w:ascii="Times New Roman" w:hAnsi="Times New Roman" w:cs="Times New Roman"/>
          <w:sz w:val="20"/>
          <w:szCs w:val="20"/>
        </w:rPr>
        <w:t>ontext</w:t>
      </w:r>
      <w:r w:rsidRPr="0092710E">
        <w:rPr>
          <w:rFonts w:ascii="Times New Roman" w:hAnsi="Times New Roman" w:cs="Times New Roman"/>
          <w:sz w:val="20"/>
          <w:szCs w:val="20"/>
        </w:rPr>
        <w:t>ualist</w:t>
      </w:r>
      <w:proofErr w:type="spellEnd"/>
      <w:r w:rsidRPr="0092710E">
        <w:rPr>
          <w:rFonts w:ascii="Times New Roman" w:hAnsi="Times New Roman" w:cs="Times New Roman"/>
          <w:sz w:val="20"/>
          <w:szCs w:val="20"/>
        </w:rPr>
        <w:t xml:space="preserve"> scholarship supporting this view, s</w:t>
      </w:r>
      <w:r w:rsidRPr="0092710E">
        <w:rPr>
          <w:rFonts w:ascii="Times New Roman" w:hAnsi="Times New Roman" w:cs="Times New Roman"/>
          <w:iCs/>
          <w:sz w:val="20"/>
          <w:szCs w:val="20"/>
        </w:rPr>
        <w:t>ee generally</w:t>
      </w:r>
      <w:r w:rsidRPr="0092710E">
        <w:rPr>
          <w:rFonts w:ascii="Times New Roman" w:hAnsi="Times New Roman" w:cs="Times New Roman"/>
          <w:i/>
          <w:iCs/>
          <w:sz w:val="20"/>
          <w:szCs w:val="20"/>
        </w:rPr>
        <w:t>,</w:t>
      </w:r>
      <w:r w:rsidRPr="0092710E">
        <w:rPr>
          <w:rFonts w:ascii="Times New Roman" w:hAnsi="Times New Roman" w:cs="Times New Roman"/>
          <w:iCs/>
          <w:smallCaps/>
          <w:sz w:val="20"/>
          <w:szCs w:val="20"/>
        </w:rPr>
        <w:t xml:space="preserve"> Steven J. Burton, Elements of Contract Interpretation (2009); </w:t>
      </w:r>
      <w:r w:rsidRPr="0092710E">
        <w:rPr>
          <w:rFonts w:ascii="Times New Roman" w:hAnsi="Times New Roman" w:cs="Times New Roman"/>
          <w:sz w:val="20"/>
          <w:szCs w:val="20"/>
        </w:rPr>
        <w:t xml:space="preserve">Shawn J. Bayern, </w:t>
      </w:r>
      <w:r w:rsidRPr="0092710E">
        <w:rPr>
          <w:rFonts w:ascii="Times New Roman" w:hAnsi="Times New Roman" w:cs="Times New Roman"/>
          <w:i/>
          <w:iCs/>
          <w:sz w:val="20"/>
          <w:szCs w:val="20"/>
        </w:rPr>
        <w:t>Rational Ignorance, Rational Closed-Mindedness, and Modern Economic Formalism in Contract Law</w:t>
      </w:r>
      <w:r w:rsidRPr="0092710E">
        <w:rPr>
          <w:rFonts w:ascii="Times New Roman" w:hAnsi="Times New Roman" w:cs="Times New Roman"/>
          <w:sz w:val="20"/>
          <w:szCs w:val="20"/>
        </w:rPr>
        <w:t xml:space="preserve">, 97 </w:t>
      </w:r>
      <w:r w:rsidRPr="0092710E">
        <w:rPr>
          <w:rFonts w:ascii="Times New Roman" w:hAnsi="Times New Roman" w:cs="Times New Roman"/>
          <w:smallCaps/>
          <w:sz w:val="20"/>
          <w:szCs w:val="20"/>
        </w:rPr>
        <w:t>Cal. L. Rev</w:t>
      </w:r>
      <w:r w:rsidRPr="0092710E">
        <w:rPr>
          <w:rFonts w:ascii="Times New Roman" w:hAnsi="Times New Roman" w:cs="Times New Roman"/>
          <w:sz w:val="20"/>
          <w:szCs w:val="20"/>
        </w:rPr>
        <w:t xml:space="preserve">. 943 (2009); James W. Bowers, </w:t>
      </w:r>
      <w:r w:rsidRPr="0092710E">
        <w:rPr>
          <w:rFonts w:ascii="Times New Roman" w:hAnsi="Times New Roman" w:cs="Times New Roman"/>
          <w:i/>
          <w:iCs/>
          <w:sz w:val="20"/>
          <w:szCs w:val="20"/>
        </w:rPr>
        <w:t>Murphy’s Law and the Elementary Theory of Contract Interpretation: A Response to Schwartz and Scott</w:t>
      </w:r>
      <w:r w:rsidRPr="0092710E">
        <w:rPr>
          <w:rFonts w:ascii="Times New Roman" w:hAnsi="Times New Roman" w:cs="Times New Roman"/>
          <w:sz w:val="20"/>
          <w:szCs w:val="20"/>
        </w:rPr>
        <w:t>,</w:t>
      </w:r>
      <w:r w:rsidRPr="0092710E">
        <w:rPr>
          <w:rFonts w:ascii="Times New Roman" w:hAnsi="Times New Roman" w:cs="Times New Roman"/>
          <w:i/>
          <w:iCs/>
          <w:sz w:val="20"/>
          <w:szCs w:val="20"/>
        </w:rPr>
        <w:t xml:space="preserve"> </w:t>
      </w:r>
      <w:r w:rsidRPr="0092710E">
        <w:rPr>
          <w:rFonts w:ascii="Times New Roman" w:hAnsi="Times New Roman" w:cs="Times New Roman"/>
          <w:sz w:val="20"/>
          <w:szCs w:val="20"/>
        </w:rPr>
        <w:t xml:space="preserve">57 </w:t>
      </w:r>
      <w:r w:rsidRPr="0092710E">
        <w:rPr>
          <w:rFonts w:ascii="Times New Roman" w:hAnsi="Times New Roman" w:cs="Times New Roman"/>
          <w:smallCaps/>
          <w:sz w:val="20"/>
          <w:szCs w:val="20"/>
        </w:rPr>
        <w:t>Rutgers L. Rev</w:t>
      </w:r>
      <w:r w:rsidRPr="0092710E">
        <w:rPr>
          <w:rFonts w:ascii="Times New Roman" w:hAnsi="Times New Roman" w:cs="Times New Roman"/>
          <w:sz w:val="20"/>
          <w:szCs w:val="20"/>
        </w:rPr>
        <w:t xml:space="preserve">. 587 (2005); Steven J. Burton, </w:t>
      </w:r>
      <w:r w:rsidRPr="0092710E">
        <w:rPr>
          <w:rFonts w:ascii="Times New Roman" w:hAnsi="Times New Roman" w:cs="Times New Roman"/>
          <w:i/>
          <w:sz w:val="20"/>
          <w:szCs w:val="20"/>
        </w:rPr>
        <w:t>A Lesson on Some Limits of Economic Analysis: Schwartz and Scott on Contract Interpretation</w:t>
      </w:r>
      <w:r w:rsidRPr="0092710E">
        <w:rPr>
          <w:rFonts w:ascii="Times New Roman" w:hAnsi="Times New Roman" w:cs="Times New Roman"/>
          <w:sz w:val="20"/>
          <w:szCs w:val="20"/>
        </w:rPr>
        <w:t xml:space="preserve">, </w:t>
      </w:r>
      <w:r w:rsidRPr="0092710E">
        <w:rPr>
          <w:rFonts w:ascii="Times New Roman" w:hAnsi="Times New Roman" w:cs="Times New Roman"/>
          <w:smallCaps/>
          <w:sz w:val="20"/>
          <w:szCs w:val="20"/>
        </w:rPr>
        <w:t xml:space="preserve">88 Ind. L.J. 339 </w:t>
      </w:r>
      <w:r w:rsidRPr="0092710E">
        <w:rPr>
          <w:rFonts w:ascii="Times New Roman" w:hAnsi="Times New Roman" w:cs="Times New Roman"/>
          <w:sz w:val="20"/>
          <w:szCs w:val="20"/>
        </w:rPr>
        <w:t xml:space="preserve">(2013); Juliet P. </w:t>
      </w:r>
      <w:proofErr w:type="spellStart"/>
      <w:r w:rsidRPr="0092710E">
        <w:rPr>
          <w:rFonts w:ascii="Times New Roman" w:hAnsi="Times New Roman" w:cs="Times New Roman"/>
          <w:sz w:val="20"/>
          <w:szCs w:val="20"/>
        </w:rPr>
        <w:t>Kostritsky</w:t>
      </w:r>
      <w:proofErr w:type="spellEnd"/>
      <w:r w:rsidRPr="0092710E">
        <w:rPr>
          <w:rFonts w:ascii="Times New Roman" w:hAnsi="Times New Roman" w:cs="Times New Roman"/>
          <w:sz w:val="20"/>
          <w:szCs w:val="20"/>
        </w:rPr>
        <w:t xml:space="preserve">, </w:t>
      </w:r>
      <w:r w:rsidRPr="0092710E">
        <w:rPr>
          <w:rFonts w:ascii="Times New Roman" w:hAnsi="Times New Roman" w:cs="Times New Roman"/>
          <w:i/>
          <w:iCs/>
          <w:sz w:val="20"/>
          <w:szCs w:val="20"/>
        </w:rPr>
        <w:t>Plain Meaning vs. Broad Interpretation: How the Risk of Opportunism Defeats a Unitary Default Rule for Interpretation</w:t>
      </w:r>
      <w:r w:rsidRPr="0092710E">
        <w:rPr>
          <w:rFonts w:ascii="Times New Roman" w:hAnsi="Times New Roman" w:cs="Times New Roman"/>
          <w:sz w:val="20"/>
          <w:szCs w:val="20"/>
        </w:rPr>
        <w:t>,</w:t>
      </w:r>
      <w:r w:rsidRPr="0092710E">
        <w:rPr>
          <w:rFonts w:ascii="Times New Roman" w:hAnsi="Times New Roman" w:cs="Times New Roman"/>
          <w:i/>
          <w:iCs/>
          <w:sz w:val="20"/>
          <w:szCs w:val="20"/>
        </w:rPr>
        <w:t xml:space="preserve"> </w:t>
      </w:r>
      <w:r w:rsidRPr="0092710E">
        <w:rPr>
          <w:rFonts w:ascii="Times New Roman" w:hAnsi="Times New Roman" w:cs="Times New Roman"/>
          <w:sz w:val="20"/>
          <w:szCs w:val="20"/>
        </w:rPr>
        <w:t xml:space="preserve">96 </w:t>
      </w:r>
      <w:r w:rsidRPr="0092710E">
        <w:rPr>
          <w:rFonts w:ascii="Times New Roman" w:hAnsi="Times New Roman" w:cs="Times New Roman"/>
          <w:smallCaps/>
          <w:sz w:val="20"/>
          <w:szCs w:val="20"/>
        </w:rPr>
        <w:t xml:space="preserve">Ky. </w:t>
      </w:r>
      <w:proofErr w:type="gramStart"/>
      <w:r w:rsidRPr="0092710E">
        <w:rPr>
          <w:rFonts w:ascii="Times New Roman" w:hAnsi="Times New Roman" w:cs="Times New Roman"/>
          <w:smallCaps/>
          <w:sz w:val="20"/>
          <w:szCs w:val="20"/>
        </w:rPr>
        <w:t>L.J.</w:t>
      </w:r>
      <w:r w:rsidRPr="0092710E">
        <w:rPr>
          <w:rFonts w:ascii="Times New Roman" w:hAnsi="Times New Roman" w:cs="Times New Roman"/>
          <w:sz w:val="20"/>
          <w:szCs w:val="20"/>
        </w:rPr>
        <w:t xml:space="preserve"> 43 (2008).</w:t>
      </w:r>
      <w:proofErr w:type="gramEnd"/>
      <w:r w:rsidRPr="0092710E">
        <w:rPr>
          <w:rFonts w:ascii="Times New Roman" w:hAnsi="Times New Roman" w:cs="Times New Roman"/>
          <w:sz w:val="20"/>
          <w:szCs w:val="20"/>
        </w:rPr>
        <w:t xml:space="preserve">  </w:t>
      </w:r>
    </w:p>
    <w:p w14:paraId="73641980" w14:textId="53486CBF" w:rsidR="00A1412B" w:rsidRPr="0092710E" w:rsidRDefault="00A1412B">
      <w:pPr>
        <w:pStyle w:val="FootnoteText"/>
        <w:rPr>
          <w:sz w:val="20"/>
          <w:szCs w:val="20"/>
        </w:rPr>
      </w:pPr>
    </w:p>
  </w:footnote>
  <w:footnote w:id="10">
    <w:p w14:paraId="6984F495" w14:textId="65997839" w:rsidR="00A1412B" w:rsidRPr="000B314D" w:rsidRDefault="00A1412B" w:rsidP="001E7DF3">
      <w:pPr>
        <w:ind w:firstLine="720"/>
        <w:rPr>
          <w:rFonts w:ascii="Times New Roman" w:hAnsi="Times New Roman" w:cs="Times New Roman"/>
          <w:sz w:val="20"/>
          <w:szCs w:val="20"/>
        </w:rPr>
      </w:pPr>
      <w:r>
        <w:rPr>
          <w:rStyle w:val="FootnoteReference"/>
        </w:rPr>
        <w:footnoteRef/>
      </w:r>
      <w:r>
        <w:t xml:space="preserve"> </w:t>
      </w:r>
      <w:r w:rsidRPr="004A3C3C">
        <w:rPr>
          <w:sz w:val="20"/>
          <w:szCs w:val="20"/>
        </w:rPr>
        <w:t>It is commonplace to follow Frank Knight and distinguish between risk – the likelihood of an event that can be estimated probabilistically</w:t>
      </w:r>
      <w:r>
        <w:rPr>
          <w:sz w:val="20"/>
          <w:szCs w:val="20"/>
        </w:rPr>
        <w:t>--</w:t>
      </w:r>
      <w:r w:rsidRPr="004A3C3C">
        <w:rPr>
          <w:sz w:val="20"/>
          <w:szCs w:val="20"/>
        </w:rPr>
        <w:t xml:space="preserve"> and uncertainty, the likelihood of whose occurrence, or even whether it could happen at all, is unknown.  </w:t>
      </w:r>
      <w:proofErr w:type="gramStart"/>
      <w:r w:rsidRPr="004A3C3C">
        <w:rPr>
          <w:smallCaps/>
          <w:sz w:val="20"/>
          <w:szCs w:val="20"/>
        </w:rPr>
        <w:t>Frank H. Knight, Risk Uncertainty and Profit, (1921).</w:t>
      </w:r>
      <w:proofErr w:type="gramEnd"/>
      <w:r w:rsidRPr="004A3C3C">
        <w:rPr>
          <w:sz w:val="20"/>
          <w:szCs w:val="20"/>
        </w:rPr>
        <w:t xml:space="preserve">  </w:t>
      </w:r>
      <w:r w:rsidRPr="000B314D">
        <w:rPr>
          <w:rFonts w:ascii="Times New Roman" w:hAnsi="Times New Roman" w:cs="Times New Roman"/>
          <w:sz w:val="20"/>
          <w:szCs w:val="20"/>
        </w:rPr>
        <w:t xml:space="preserve">See Ronald J. Gilson, Charles F. </w:t>
      </w:r>
      <w:proofErr w:type="spellStart"/>
      <w:r w:rsidRPr="000B314D">
        <w:rPr>
          <w:rFonts w:ascii="Times New Roman" w:hAnsi="Times New Roman" w:cs="Times New Roman"/>
          <w:sz w:val="20"/>
          <w:szCs w:val="20"/>
        </w:rPr>
        <w:t>Sabel</w:t>
      </w:r>
      <w:proofErr w:type="spellEnd"/>
      <w:r w:rsidRPr="000B314D">
        <w:rPr>
          <w:rFonts w:ascii="Times New Roman" w:hAnsi="Times New Roman" w:cs="Times New Roman"/>
          <w:sz w:val="20"/>
          <w:szCs w:val="20"/>
        </w:rPr>
        <w:t xml:space="preserve"> &amp; Robert E. Scott, </w:t>
      </w:r>
      <w:r w:rsidRPr="000B314D">
        <w:rPr>
          <w:rFonts w:ascii="Times New Roman" w:hAnsi="Times New Roman" w:cs="Times New Roman"/>
          <w:i/>
          <w:sz w:val="20"/>
          <w:szCs w:val="20"/>
        </w:rPr>
        <w:t>Contracting for Innovation</w:t>
      </w:r>
      <w:r w:rsidRPr="000B314D">
        <w:rPr>
          <w:rFonts w:ascii="Times New Roman" w:hAnsi="Times New Roman" w:cs="Times New Roman"/>
          <w:sz w:val="20"/>
          <w:szCs w:val="20"/>
        </w:rPr>
        <w:t>:</w:t>
      </w:r>
      <w:r w:rsidRPr="000B314D">
        <w:rPr>
          <w:rFonts w:ascii="Times New Roman" w:hAnsi="Times New Roman" w:cs="Times New Roman"/>
          <w:i/>
          <w:sz w:val="20"/>
          <w:szCs w:val="20"/>
        </w:rPr>
        <w:t xml:space="preserve"> Vertical Disintegration and </w:t>
      </w:r>
      <w:proofErr w:type="spellStart"/>
      <w:r w:rsidRPr="000B314D">
        <w:rPr>
          <w:rFonts w:ascii="Times New Roman" w:hAnsi="Times New Roman" w:cs="Times New Roman"/>
          <w:i/>
          <w:sz w:val="20"/>
          <w:szCs w:val="20"/>
        </w:rPr>
        <w:t>Interfirm</w:t>
      </w:r>
      <w:proofErr w:type="spellEnd"/>
      <w:r w:rsidRPr="000B314D">
        <w:rPr>
          <w:rFonts w:ascii="Times New Roman" w:hAnsi="Times New Roman" w:cs="Times New Roman"/>
          <w:i/>
          <w:sz w:val="20"/>
          <w:szCs w:val="20"/>
        </w:rPr>
        <w:t xml:space="preserve"> Collaboration,</w:t>
      </w:r>
      <w:r w:rsidRPr="000B314D">
        <w:rPr>
          <w:rFonts w:ascii="Times New Roman" w:hAnsi="Times New Roman" w:cs="Times New Roman"/>
          <w:sz w:val="20"/>
          <w:szCs w:val="20"/>
        </w:rPr>
        <w:t xml:space="preserve"> 109</w:t>
      </w:r>
      <w:r>
        <w:rPr>
          <w:rFonts w:ascii="Times New Roman" w:hAnsi="Times New Roman" w:cs="Times New Roman"/>
          <w:sz w:val="20"/>
          <w:szCs w:val="20"/>
        </w:rPr>
        <w:t xml:space="preserve"> Colum. L. Rev. 431, 433 (2009.</w:t>
      </w:r>
      <w:r w:rsidRPr="000B314D">
        <w:rPr>
          <w:rFonts w:ascii="Times New Roman" w:hAnsi="Times New Roman" w:cs="Times New Roman"/>
          <w:color w:val="383838"/>
          <w:sz w:val="20"/>
          <w:szCs w:val="20"/>
        </w:rPr>
        <w:t xml:space="preserve">  A</w:t>
      </w:r>
      <w:r w:rsidRPr="000B314D">
        <w:rPr>
          <w:rFonts w:ascii="Times New Roman" w:hAnsi="Times New Roman" w:cs="Times New Roman"/>
          <w:sz w:val="20"/>
          <w:szCs w:val="20"/>
        </w:rPr>
        <w:t>ny particular transaction will present elements of both risk and uncertainty but in different proportions.</w:t>
      </w:r>
      <w:r w:rsidRPr="000B314D">
        <w:rPr>
          <w:rFonts w:ascii="Times New Roman" w:hAnsi="Times New Roman" w:cs="Times New Roman"/>
          <w:color w:val="383838"/>
          <w:sz w:val="20"/>
          <w:szCs w:val="20"/>
        </w:rPr>
        <w:t xml:space="preserve">   </w:t>
      </w:r>
      <w:r w:rsidRPr="000B314D">
        <w:rPr>
          <w:rFonts w:ascii="Times New Roman" w:hAnsi="Times New Roman" w:cs="Times New Roman"/>
          <w:sz w:val="20"/>
          <w:szCs w:val="20"/>
        </w:rPr>
        <w:t xml:space="preserve">I will treat the term “low-uncertainty” as covering situations in which probabilistic assessments can be made in important respects, and I will use the term “high-uncertainty” for circumstances where probabilistic assessments are of little consequence. Thus, a high level of uncertainty exists when exogenous events that may affect the parties’ obligations to perform are unknown or cannot be estimated probabilistically. </w:t>
      </w:r>
      <w:r>
        <w:rPr>
          <w:rFonts w:ascii="Times New Roman" w:hAnsi="Times New Roman" w:cs="Times New Roman"/>
          <w:sz w:val="20"/>
          <w:szCs w:val="20"/>
        </w:rPr>
        <w:t xml:space="preserve"> In contrast, </w:t>
      </w:r>
      <w:r w:rsidRPr="000B314D">
        <w:rPr>
          <w:rFonts w:ascii="Times New Roman" w:hAnsi="Times New Roman" w:cs="Times New Roman"/>
          <w:sz w:val="20"/>
          <w:szCs w:val="20"/>
        </w:rPr>
        <w:t xml:space="preserve">under conditions of low uncertainty, </w:t>
      </w:r>
      <w:r>
        <w:rPr>
          <w:rFonts w:ascii="Times New Roman" w:hAnsi="Times New Roman" w:cs="Times New Roman"/>
          <w:sz w:val="20"/>
          <w:szCs w:val="20"/>
        </w:rPr>
        <w:t xml:space="preserve">sophisticated parties </w:t>
      </w:r>
      <w:r w:rsidRPr="000B314D">
        <w:rPr>
          <w:rFonts w:ascii="Times New Roman" w:hAnsi="Times New Roman" w:cs="Times New Roman"/>
          <w:sz w:val="20"/>
          <w:szCs w:val="20"/>
        </w:rPr>
        <w:t>can identify</w:t>
      </w:r>
      <w:r>
        <w:rPr>
          <w:rFonts w:ascii="Times New Roman" w:hAnsi="Times New Roman" w:cs="Times New Roman"/>
          <w:sz w:val="20"/>
          <w:szCs w:val="20"/>
        </w:rPr>
        <w:t xml:space="preserve"> the </w:t>
      </w:r>
      <w:r w:rsidRPr="000B314D">
        <w:rPr>
          <w:rFonts w:ascii="Times New Roman" w:hAnsi="Times New Roman" w:cs="Times New Roman"/>
          <w:sz w:val="20"/>
          <w:szCs w:val="20"/>
        </w:rPr>
        <w:t>relevant risks that may impede future performance, estimate their occurrence probabilistically, and allocate those risks in the resulting agreement</w:t>
      </w:r>
      <w:r>
        <w:rPr>
          <w:rFonts w:ascii="Times New Roman" w:hAnsi="Times New Roman" w:cs="Times New Roman"/>
          <w:sz w:val="20"/>
          <w:szCs w:val="20"/>
        </w:rPr>
        <w:t xml:space="preserve">. </w:t>
      </w:r>
      <w:r w:rsidRPr="000B314D">
        <w:rPr>
          <w:rFonts w:ascii="Times New Roman" w:hAnsi="Times New Roman" w:cs="Times New Roman"/>
          <w:sz w:val="20"/>
          <w:szCs w:val="20"/>
        </w:rPr>
        <w:t xml:space="preserve"> For a helpful discussion of how the incomplete foresight associated with </w:t>
      </w:r>
      <w:proofErr w:type="spellStart"/>
      <w:r w:rsidRPr="000B314D">
        <w:rPr>
          <w:rFonts w:ascii="Times New Roman" w:hAnsi="Times New Roman" w:cs="Times New Roman"/>
          <w:sz w:val="20"/>
          <w:szCs w:val="20"/>
        </w:rPr>
        <w:t>Knightian</w:t>
      </w:r>
      <w:proofErr w:type="spellEnd"/>
      <w:r w:rsidRPr="000B314D">
        <w:rPr>
          <w:rFonts w:ascii="Times New Roman" w:hAnsi="Times New Roman" w:cs="Times New Roman"/>
          <w:sz w:val="20"/>
          <w:szCs w:val="20"/>
        </w:rPr>
        <w:t xml:space="preserve"> uncertainty is central to institutional (contractual) design, see Rudolph Richter, Efficiency of Institutions: From the Perspective of New Institutional Economics with Emphasis on </w:t>
      </w:r>
      <w:proofErr w:type="spellStart"/>
      <w:r w:rsidRPr="000B314D">
        <w:rPr>
          <w:rFonts w:ascii="Times New Roman" w:hAnsi="Times New Roman" w:cs="Times New Roman"/>
          <w:sz w:val="20"/>
          <w:szCs w:val="20"/>
        </w:rPr>
        <w:t>Knightian</w:t>
      </w:r>
      <w:proofErr w:type="spellEnd"/>
      <w:r w:rsidRPr="000B314D">
        <w:rPr>
          <w:rFonts w:ascii="Times New Roman" w:hAnsi="Times New Roman" w:cs="Times New Roman"/>
          <w:sz w:val="20"/>
          <w:szCs w:val="20"/>
        </w:rPr>
        <w:t xml:space="preserve"> Uncertainty 16–20 (July 13, 2012) (unpublished manuscript), available at http://ssrn.com/abstract=2105604</w:t>
      </w:r>
      <w:r w:rsidRPr="000B314D">
        <w:rPr>
          <w:rFonts w:ascii="Times New Roman" w:hAnsi="Times New Roman" w:cs="Times New Roman"/>
          <w:color w:val="383838"/>
          <w:sz w:val="20"/>
          <w:szCs w:val="20"/>
        </w:rPr>
        <w:t xml:space="preserve"> </w:t>
      </w:r>
      <w:r>
        <w:rPr>
          <w:rFonts w:ascii="Times New Roman" w:hAnsi="Times New Roman" w:cs="Times New Roman"/>
          <w:color w:val="383838"/>
          <w:sz w:val="20"/>
          <w:szCs w:val="20"/>
        </w:rPr>
        <w:t>.</w:t>
      </w:r>
    </w:p>
    <w:p w14:paraId="73BB1B1C" w14:textId="2778BF57" w:rsidR="00A1412B" w:rsidRPr="000B314D" w:rsidRDefault="00A1412B" w:rsidP="004A3C3C">
      <w:pPr>
        <w:pStyle w:val="FootnoteText"/>
        <w:spacing w:line="240" w:lineRule="auto"/>
        <w:rPr>
          <w:sz w:val="20"/>
          <w:szCs w:val="20"/>
        </w:rPr>
      </w:pPr>
    </w:p>
    <w:p w14:paraId="0E990453" w14:textId="77777777" w:rsidR="00A1412B" w:rsidRPr="000B314D" w:rsidRDefault="00A1412B" w:rsidP="004A3C3C">
      <w:pPr>
        <w:pStyle w:val="FootnoteText"/>
        <w:spacing w:line="240" w:lineRule="auto"/>
        <w:rPr>
          <w:sz w:val="20"/>
          <w:szCs w:val="20"/>
        </w:rPr>
      </w:pPr>
    </w:p>
  </w:footnote>
  <w:footnote w:id="11">
    <w:p w14:paraId="5E71D1EF" w14:textId="452BA18B" w:rsidR="00A1412B" w:rsidRPr="006827E1" w:rsidRDefault="00A1412B" w:rsidP="006827E1">
      <w:pPr>
        <w:rPr>
          <w:rFonts w:ascii="Times New Roman" w:hAnsi="Times New Roman" w:cs="Times New Roman"/>
          <w:sz w:val="20"/>
          <w:szCs w:val="20"/>
        </w:rPr>
      </w:pPr>
      <w:r w:rsidRPr="000B314D">
        <w:tab/>
      </w:r>
      <w:r w:rsidRPr="000B314D">
        <w:rPr>
          <w:rStyle w:val="NoterefInNote"/>
          <w:rFonts w:ascii="Times New Roman" w:hAnsi="Times New Roman" w:cs="Times New Roman"/>
          <w:sz w:val="16"/>
          <w:szCs w:val="16"/>
        </w:rPr>
        <w:footnoteRef/>
      </w:r>
      <w:r w:rsidRPr="000B314D">
        <w:rPr>
          <w:sz w:val="16"/>
          <w:szCs w:val="16"/>
        </w:rPr>
        <w:t xml:space="preserve"> </w:t>
      </w:r>
      <w:r w:rsidRPr="006827E1">
        <w:rPr>
          <w:rFonts w:ascii="Times New Roman" w:hAnsi="Times New Roman" w:cs="Times New Roman"/>
          <w:sz w:val="20"/>
          <w:szCs w:val="20"/>
        </w:rPr>
        <w:t>A thick market is one in which many commercial actors are exchanging goods or services by using the same or similar contracting behaviors and strategies.  Hence the contracting is multilateral.  In thin markets, the contracting is bilateral.</w:t>
      </w:r>
    </w:p>
    <w:p w14:paraId="05F47564" w14:textId="77777777" w:rsidR="00A1412B" w:rsidRPr="006827E1" w:rsidRDefault="00A1412B" w:rsidP="006827E1">
      <w:pPr>
        <w:rPr>
          <w:rFonts w:ascii="Times New Roman" w:hAnsi="Times New Roman" w:cs="Times New Roman"/>
          <w:sz w:val="20"/>
          <w:szCs w:val="20"/>
        </w:rPr>
      </w:pPr>
    </w:p>
  </w:footnote>
  <w:footnote w:id="12">
    <w:p w14:paraId="4F8F9CE8" w14:textId="35E139F2" w:rsidR="00A1412B" w:rsidRPr="004A3C3C" w:rsidRDefault="00A1412B" w:rsidP="006827E1">
      <w:r w:rsidRPr="006827E1">
        <w:rPr>
          <w:rFonts w:ascii="Times New Roman" w:hAnsi="Times New Roman" w:cs="Times New Roman"/>
          <w:sz w:val="20"/>
          <w:szCs w:val="20"/>
        </w:rPr>
        <w:tab/>
      </w:r>
      <w:r w:rsidRPr="006827E1">
        <w:rPr>
          <w:rStyle w:val="NoterefInNote"/>
          <w:rFonts w:ascii="Times New Roman" w:hAnsi="Times New Roman" w:cs="Times New Roman"/>
          <w:sz w:val="16"/>
          <w:szCs w:val="16"/>
        </w:rPr>
        <w:footnoteRef/>
      </w:r>
      <w:r w:rsidRPr="006827E1">
        <w:rPr>
          <w:rFonts w:ascii="Times New Roman" w:hAnsi="Times New Roman" w:cs="Times New Roman"/>
          <w:sz w:val="20"/>
          <w:szCs w:val="20"/>
        </w:rPr>
        <w:t xml:space="preserve">In previous work, my co-authors Ronald Gilson, Charles </w:t>
      </w:r>
      <w:proofErr w:type="spellStart"/>
      <w:r w:rsidRPr="006827E1">
        <w:rPr>
          <w:rFonts w:ascii="Times New Roman" w:hAnsi="Times New Roman" w:cs="Times New Roman"/>
          <w:sz w:val="20"/>
          <w:szCs w:val="20"/>
        </w:rPr>
        <w:t>Sabel</w:t>
      </w:r>
      <w:proofErr w:type="spellEnd"/>
      <w:r w:rsidRPr="006827E1">
        <w:rPr>
          <w:rFonts w:ascii="Times New Roman" w:hAnsi="Times New Roman" w:cs="Times New Roman"/>
          <w:sz w:val="20"/>
          <w:szCs w:val="20"/>
        </w:rPr>
        <w:t xml:space="preserve"> and I have assessed how uncertainty and scale shape how contracting parties deal with a particular manifestation of uncertainty: the design of innovative contracts that respond to changes in the economic environment by changing existing practices to respond to new circumstances. </w:t>
      </w:r>
      <w:r w:rsidRPr="006827E1">
        <w:rPr>
          <w:rFonts w:ascii="Times New Roman" w:hAnsi="Times New Roman" w:cs="Times New Roman"/>
          <w:i/>
          <w:sz w:val="20"/>
          <w:szCs w:val="20"/>
        </w:rPr>
        <w:t>See</w:t>
      </w:r>
      <w:r w:rsidRPr="006827E1">
        <w:rPr>
          <w:rFonts w:ascii="Times New Roman" w:hAnsi="Times New Roman" w:cs="Times New Roman"/>
          <w:sz w:val="20"/>
          <w:szCs w:val="20"/>
        </w:rPr>
        <w:t xml:space="preserve"> Ronald J. Gilson, Charles F. </w:t>
      </w:r>
      <w:proofErr w:type="spellStart"/>
      <w:r w:rsidRPr="006827E1">
        <w:rPr>
          <w:rFonts w:ascii="Times New Roman" w:hAnsi="Times New Roman" w:cs="Times New Roman"/>
          <w:sz w:val="20"/>
          <w:szCs w:val="20"/>
        </w:rPr>
        <w:t>Sabel</w:t>
      </w:r>
      <w:proofErr w:type="spellEnd"/>
      <w:r w:rsidRPr="006827E1">
        <w:rPr>
          <w:rFonts w:ascii="Times New Roman" w:hAnsi="Times New Roman" w:cs="Times New Roman"/>
          <w:sz w:val="20"/>
          <w:szCs w:val="20"/>
        </w:rPr>
        <w:t xml:space="preserve"> &amp; Robert E. Scott,</w:t>
      </w:r>
      <w:r w:rsidRPr="006827E1">
        <w:rPr>
          <w:rFonts w:ascii="Times New Roman" w:hAnsi="Times New Roman" w:cs="Times New Roman"/>
          <w:i/>
          <w:sz w:val="20"/>
          <w:szCs w:val="20"/>
        </w:rPr>
        <w:t xml:space="preserve"> Contract and Innovation, The Limited Role of Generalist Courts in the Evolution of Novel Contractual Forms</w:t>
      </w:r>
      <w:r w:rsidRPr="006827E1">
        <w:rPr>
          <w:rFonts w:ascii="Times New Roman" w:hAnsi="Times New Roman" w:cs="Times New Roman"/>
          <w:sz w:val="20"/>
          <w:szCs w:val="20"/>
        </w:rPr>
        <w:t xml:space="preserve">, 88 </w:t>
      </w:r>
      <w:r w:rsidRPr="006827E1">
        <w:rPr>
          <w:rFonts w:ascii="Times New Roman" w:hAnsi="Times New Roman" w:cs="Times New Roman"/>
          <w:smallCaps/>
          <w:sz w:val="20"/>
          <w:szCs w:val="20"/>
        </w:rPr>
        <w:t xml:space="preserve">N.Y.U. L. Rev. </w:t>
      </w:r>
      <w:r w:rsidRPr="006827E1">
        <w:rPr>
          <w:rFonts w:ascii="Times New Roman" w:hAnsi="Times New Roman" w:cs="Times New Roman"/>
          <w:sz w:val="20"/>
          <w:szCs w:val="20"/>
        </w:rPr>
        <w:t>170, 172–74 (2013).</w:t>
      </w:r>
      <w:r w:rsidRPr="004A3C3C">
        <w:t xml:space="preserve">  </w:t>
      </w:r>
    </w:p>
  </w:footnote>
  <w:footnote w:id="13">
    <w:p w14:paraId="3F136B4B" w14:textId="6CBF7848" w:rsidR="00A1412B" w:rsidRDefault="00A1412B" w:rsidP="000B21F0">
      <w:pPr>
        <w:pStyle w:val="FootnoteText"/>
        <w:spacing w:line="240" w:lineRule="auto"/>
        <w:rPr>
          <w:sz w:val="20"/>
          <w:szCs w:val="20"/>
        </w:rPr>
      </w:pPr>
      <w:r>
        <w:rPr>
          <w:rStyle w:val="FootnoteReference"/>
        </w:rPr>
        <w:footnoteRef/>
      </w:r>
      <w:r>
        <w:t xml:space="preserve"> </w:t>
      </w:r>
      <w:r w:rsidRPr="000B21F0">
        <w:rPr>
          <w:sz w:val="20"/>
          <w:szCs w:val="20"/>
        </w:rPr>
        <w:t xml:space="preserve">Charles J. Goetz &amp; Robert E. </w:t>
      </w:r>
      <w:proofErr w:type="gramStart"/>
      <w:r w:rsidRPr="000B21F0">
        <w:rPr>
          <w:sz w:val="20"/>
          <w:szCs w:val="20"/>
        </w:rPr>
        <w:t>Scott,</w:t>
      </w:r>
      <w:proofErr w:type="gramEnd"/>
      <w:r w:rsidRPr="000B21F0">
        <w:rPr>
          <w:sz w:val="20"/>
          <w:szCs w:val="20"/>
        </w:rPr>
        <w:t xml:space="preserve"> </w:t>
      </w:r>
      <w:r w:rsidRPr="000B21F0">
        <w:rPr>
          <w:i/>
          <w:sz w:val="20"/>
          <w:szCs w:val="20"/>
        </w:rPr>
        <w:t xml:space="preserve">Liquidated Damages, Penalties and the Just Compensation Principle:  Some Notes on an Enforcement Model and a Theory of Efficient Breach, </w:t>
      </w:r>
      <w:r w:rsidRPr="000B21F0">
        <w:rPr>
          <w:sz w:val="20"/>
          <w:szCs w:val="20"/>
        </w:rPr>
        <w:t>77 Colum. L. Rev. 554 (1977).</w:t>
      </w:r>
    </w:p>
    <w:p w14:paraId="697D9BCB" w14:textId="77777777" w:rsidR="00A1412B" w:rsidRPr="000B21F0" w:rsidRDefault="00A1412B" w:rsidP="000B21F0">
      <w:pPr>
        <w:pStyle w:val="FootnoteText"/>
        <w:spacing w:line="240" w:lineRule="auto"/>
        <w:rPr>
          <w:sz w:val="20"/>
          <w:szCs w:val="20"/>
        </w:rPr>
      </w:pPr>
    </w:p>
  </w:footnote>
  <w:footnote w:id="14">
    <w:p w14:paraId="36307B39" w14:textId="0E03726D" w:rsidR="00A1412B" w:rsidRDefault="00A1412B" w:rsidP="00373BBC">
      <w:pPr>
        <w:pStyle w:val="FootnoteText"/>
        <w:spacing w:line="240" w:lineRule="auto"/>
        <w:rPr>
          <w:sz w:val="20"/>
          <w:szCs w:val="20"/>
        </w:rPr>
      </w:pPr>
      <w:r>
        <w:rPr>
          <w:rStyle w:val="FootnoteReference"/>
        </w:rPr>
        <w:footnoteRef/>
      </w:r>
      <w:r>
        <w:t xml:space="preserve"> </w:t>
      </w:r>
      <w:r w:rsidRPr="00BD3520">
        <w:rPr>
          <w:sz w:val="20"/>
          <w:szCs w:val="20"/>
        </w:rPr>
        <w:t xml:space="preserve">Robert Birmingham, </w:t>
      </w:r>
      <w:r>
        <w:rPr>
          <w:i/>
          <w:sz w:val="20"/>
          <w:szCs w:val="20"/>
        </w:rPr>
        <w:t xml:space="preserve">Damage Measures and Economic Rationality:  The Geometry of Contract Law, </w:t>
      </w:r>
      <w:r w:rsidRPr="00BD3520">
        <w:rPr>
          <w:sz w:val="20"/>
          <w:szCs w:val="20"/>
        </w:rPr>
        <w:t>1969 Duke L.J. 50.</w:t>
      </w:r>
    </w:p>
    <w:p w14:paraId="12CE9C4E" w14:textId="77777777" w:rsidR="00A1412B" w:rsidRPr="00BD3520" w:rsidRDefault="00A1412B">
      <w:pPr>
        <w:pStyle w:val="FootnoteText"/>
        <w:rPr>
          <w:i/>
          <w:sz w:val="20"/>
          <w:szCs w:val="20"/>
        </w:rPr>
      </w:pPr>
    </w:p>
  </w:footnote>
  <w:footnote w:id="15">
    <w:p w14:paraId="3CB182E5" w14:textId="6849A7A0" w:rsidR="00A1412B" w:rsidRPr="000B21F0" w:rsidRDefault="00A1412B" w:rsidP="000B21F0">
      <w:pPr>
        <w:pStyle w:val="FootnoteText"/>
        <w:spacing w:line="240" w:lineRule="auto"/>
        <w:rPr>
          <w:sz w:val="20"/>
          <w:szCs w:val="20"/>
        </w:rPr>
      </w:pPr>
      <w:r w:rsidRPr="000B21F0">
        <w:rPr>
          <w:rStyle w:val="FootnoteReference"/>
          <w:sz w:val="20"/>
          <w:szCs w:val="20"/>
        </w:rPr>
        <w:footnoteRef/>
      </w:r>
      <w:r w:rsidRPr="000B21F0">
        <w:rPr>
          <w:sz w:val="20"/>
          <w:szCs w:val="20"/>
        </w:rPr>
        <w:t xml:space="preserve"> </w:t>
      </w:r>
      <w:r>
        <w:rPr>
          <w:sz w:val="20"/>
          <w:szCs w:val="20"/>
        </w:rPr>
        <w:t>Goetz &amp; Scott, supra</w:t>
      </w:r>
      <w:r w:rsidRPr="000B21F0">
        <w:rPr>
          <w:sz w:val="20"/>
          <w:szCs w:val="20"/>
        </w:rPr>
        <w:t xml:space="preserve"> </w:t>
      </w:r>
      <w:r>
        <w:rPr>
          <w:sz w:val="20"/>
          <w:szCs w:val="20"/>
        </w:rPr>
        <w:t xml:space="preserve">note 9 </w:t>
      </w:r>
      <w:r w:rsidRPr="000B21F0">
        <w:rPr>
          <w:sz w:val="20"/>
          <w:szCs w:val="20"/>
        </w:rPr>
        <w:t>at 558.</w:t>
      </w:r>
    </w:p>
  </w:footnote>
  <w:footnote w:id="16">
    <w:p w14:paraId="7E967C59" w14:textId="4A715819" w:rsidR="00A1412B" w:rsidRPr="006E037D" w:rsidRDefault="00A1412B" w:rsidP="006E037D">
      <w:pPr>
        <w:pStyle w:val="NormalWeb"/>
        <w:ind w:firstLine="720"/>
        <w:rPr>
          <w:smallCaps/>
          <w:sz w:val="20"/>
          <w:szCs w:val="20"/>
        </w:rPr>
      </w:pPr>
      <w:r w:rsidRPr="00F13FAD">
        <w:rPr>
          <w:rStyle w:val="FootnoteReference"/>
          <w:sz w:val="20"/>
          <w:szCs w:val="20"/>
        </w:rPr>
        <w:footnoteRef/>
      </w:r>
      <w:r w:rsidRPr="00F13FAD">
        <w:rPr>
          <w:sz w:val="20"/>
          <w:szCs w:val="20"/>
        </w:rPr>
        <w:t xml:space="preserve"> A variant on the idea of efficient breach that I have offered elsewhere is to shift the focus to “efficient salvage.” This analysis focuses on the</w:t>
      </w:r>
      <w:r>
        <w:rPr>
          <w:sz w:val="20"/>
          <w:szCs w:val="20"/>
        </w:rPr>
        <w:t xml:space="preserve"> question</w:t>
      </w:r>
      <w:r w:rsidRPr="00F13FAD">
        <w:rPr>
          <w:sz w:val="20"/>
          <w:szCs w:val="20"/>
        </w:rPr>
        <w:t xml:space="preserve">: which party has the advantage in acquiring substitute goods in an imperfect market? </w:t>
      </w:r>
      <w:r>
        <w:rPr>
          <w:sz w:val="20"/>
          <w:szCs w:val="20"/>
        </w:rPr>
        <w:t xml:space="preserve"> </w:t>
      </w:r>
      <w:r w:rsidRPr="00F13FAD">
        <w:rPr>
          <w:sz w:val="20"/>
          <w:szCs w:val="20"/>
        </w:rPr>
        <w:t xml:space="preserve">Once a regret contingency has occurred, the promisor has two principal options: (1) perform the contract notwithstanding the contingency and accept any corresponding losses or (2) breach the contract and pay a compensatory damage award. Since the disappointed promisor will bear the full cost of the choice between ``perform and lose'' and ``breach and pay,'' she is motivated to choose the least costly option. </w:t>
      </w:r>
      <w:r>
        <w:rPr>
          <w:sz w:val="20"/>
          <w:szCs w:val="20"/>
        </w:rPr>
        <w:t xml:space="preserve"> For example, if a </w:t>
      </w:r>
      <w:r w:rsidRPr="00F13FAD">
        <w:rPr>
          <w:sz w:val="20"/>
          <w:szCs w:val="20"/>
        </w:rPr>
        <w:t xml:space="preserve">seller believes that she can cover more cheaply than the buyer, she </w:t>
      </w:r>
      <w:r>
        <w:rPr>
          <w:sz w:val="20"/>
          <w:szCs w:val="20"/>
        </w:rPr>
        <w:t xml:space="preserve">can </w:t>
      </w:r>
      <w:r w:rsidRPr="00F13FAD">
        <w:rPr>
          <w:sz w:val="20"/>
          <w:szCs w:val="20"/>
        </w:rPr>
        <w:t>simply purchase substitute goods on her own initiative and perform her obligation by supplying the substitute goods. (In such a case, the buyer may never know there was ever a problem with the seller's performance.)</w:t>
      </w:r>
      <w:r>
        <w:rPr>
          <w:sz w:val="20"/>
          <w:szCs w:val="20"/>
        </w:rPr>
        <w:t xml:space="preserve"> </w:t>
      </w:r>
      <w:r w:rsidRPr="00F13FAD">
        <w:rPr>
          <w:sz w:val="20"/>
          <w:szCs w:val="20"/>
        </w:rPr>
        <w:t xml:space="preserve"> Indeed, there are strong incentives for most sellers to select the ``perform and lose'' option and not to breach.</w:t>
      </w:r>
      <w:r>
        <w:rPr>
          <w:sz w:val="20"/>
          <w:szCs w:val="20"/>
        </w:rPr>
        <w:t xml:space="preserve"> </w:t>
      </w:r>
      <w:r w:rsidRPr="00F13FAD">
        <w:rPr>
          <w:sz w:val="20"/>
          <w:szCs w:val="20"/>
        </w:rPr>
        <w:t xml:space="preserve">Thus, given the fact that the law requires compensation for breach, why would any seller ever breach? </w:t>
      </w:r>
      <w:r>
        <w:rPr>
          <w:sz w:val="20"/>
          <w:szCs w:val="20"/>
        </w:rPr>
        <w:t xml:space="preserve"> </w:t>
      </w:r>
      <w:r w:rsidRPr="00F13FAD">
        <w:rPr>
          <w:sz w:val="20"/>
          <w:szCs w:val="20"/>
        </w:rPr>
        <w:t xml:space="preserve">One possible explanation is that the seller might breach when she determines that the buyer is better able to cover on the market and thus reduce the seller's anticipated losses on the contract. Breach, under this conception, is a ``cry for help'' by the seller. It is a request for the buyer to salvage the broken contract at least cost and to send the seller the damage bill. </w:t>
      </w:r>
      <w:r>
        <w:rPr>
          <w:sz w:val="20"/>
          <w:szCs w:val="20"/>
        </w:rPr>
        <w:t xml:space="preserve"> For discussion see </w:t>
      </w:r>
      <w:r>
        <w:rPr>
          <w:smallCaps/>
          <w:sz w:val="20"/>
          <w:szCs w:val="20"/>
        </w:rPr>
        <w:t>Robert E. Scott &amp; Jody S. Kraus, Contract Law &amp; Theory 113-15 (2013).</w:t>
      </w:r>
    </w:p>
    <w:p w14:paraId="40B054DD" w14:textId="10CC999C" w:rsidR="00A1412B" w:rsidRPr="00F13FAD" w:rsidRDefault="00A1412B">
      <w:pPr>
        <w:pStyle w:val="FootnoteText"/>
        <w:rPr>
          <w:sz w:val="20"/>
          <w:szCs w:val="20"/>
        </w:rPr>
      </w:pPr>
    </w:p>
  </w:footnote>
  <w:footnote w:id="17">
    <w:p w14:paraId="19FC44C4" w14:textId="77777777" w:rsidR="00A1412B" w:rsidRPr="00373BBC" w:rsidRDefault="00A1412B" w:rsidP="000B21F0">
      <w:pPr>
        <w:pStyle w:val="FootnoteText"/>
        <w:spacing w:line="240" w:lineRule="auto"/>
        <w:rPr>
          <w:sz w:val="20"/>
          <w:szCs w:val="20"/>
        </w:rPr>
      </w:pPr>
      <w:r>
        <w:rPr>
          <w:rStyle w:val="FootnoteReference"/>
        </w:rPr>
        <w:footnoteRef/>
      </w:r>
      <w:r>
        <w:t xml:space="preserve"> </w:t>
      </w:r>
      <w:r w:rsidRPr="000B21F0">
        <w:rPr>
          <w:sz w:val="20"/>
          <w:szCs w:val="20"/>
        </w:rPr>
        <w:t>See</w:t>
      </w:r>
      <w:r w:rsidRPr="000B21F0">
        <w:rPr>
          <w:color w:val="003366"/>
          <w:sz w:val="20"/>
          <w:szCs w:val="20"/>
        </w:rPr>
        <w:t xml:space="preserve">, Kenneth </w:t>
      </w:r>
      <w:proofErr w:type="spellStart"/>
      <w:r w:rsidRPr="000B21F0">
        <w:rPr>
          <w:color w:val="003366"/>
          <w:sz w:val="20"/>
          <w:szCs w:val="20"/>
        </w:rPr>
        <w:t>Ayotte</w:t>
      </w:r>
      <w:proofErr w:type="spellEnd"/>
      <w:r w:rsidRPr="000B21F0">
        <w:rPr>
          <w:color w:val="003366"/>
          <w:sz w:val="20"/>
          <w:szCs w:val="20"/>
        </w:rPr>
        <w:t xml:space="preserve">, Ezra Friedman, and Henry E. Smith, A Safety Valve Model of Equity as Anti-Opportunism (March 30, 2013). Northwestern Law &amp; Econ Research Paper No. 13-15. Available at SSRN: </w:t>
      </w:r>
      <w:hyperlink r:id="rId1" w:tgtFrame="_blank" w:history="1">
        <w:r w:rsidRPr="000B21F0">
          <w:rPr>
            <w:rStyle w:val="Hyperlink"/>
            <w:sz w:val="20"/>
            <w:szCs w:val="20"/>
          </w:rPr>
          <w:t>http://ssrn.com/abstract=2245098</w:t>
        </w:r>
      </w:hyperlink>
      <w:r w:rsidRPr="000B21F0">
        <w:rPr>
          <w:color w:val="003366"/>
          <w:sz w:val="20"/>
          <w:szCs w:val="20"/>
        </w:rPr>
        <w:t xml:space="preserve"> or </w:t>
      </w:r>
      <w:r>
        <w:rPr>
          <w:sz w:val="20"/>
          <w:szCs w:val="20"/>
        </w:rPr>
        <w:fldChar w:fldCharType="begin"/>
      </w:r>
      <w:r>
        <w:rPr>
          <w:sz w:val="20"/>
          <w:szCs w:val="20"/>
        </w:rPr>
        <w:instrText xml:space="preserve"> HYPERLINK "</w:instrText>
      </w:r>
      <w:r w:rsidRPr="00373BBC">
        <w:rPr>
          <w:sz w:val="20"/>
          <w:szCs w:val="20"/>
        </w:rPr>
        <w:instrText>http://dx.doi.org/10.2139/ssrn.2245098.</w:instrText>
      </w:r>
    </w:p>
    <w:p w14:paraId="7DE6D510" w14:textId="77777777" w:rsidR="00A1412B" w:rsidRPr="00E30A1B" w:rsidRDefault="00A1412B" w:rsidP="000B21F0">
      <w:pPr>
        <w:pStyle w:val="FootnoteText"/>
        <w:spacing w:line="240" w:lineRule="auto"/>
        <w:rPr>
          <w:rStyle w:val="Hyperlink"/>
          <w:sz w:val="20"/>
          <w:szCs w:val="20"/>
        </w:rPr>
      </w:pPr>
      <w:r w:rsidRPr="00373BBC">
        <w:rPr>
          <w:sz w:val="20"/>
          <w:szCs w:val="20"/>
        </w:rPr>
        <w:instrText xml:space="preserve"> </w:instrText>
      </w:r>
      <w:r>
        <w:rPr>
          <w:sz w:val="20"/>
          <w:szCs w:val="20"/>
        </w:rPr>
        <w:instrText xml:space="preserve">" </w:instrText>
      </w:r>
      <w:r>
        <w:rPr>
          <w:sz w:val="20"/>
          <w:szCs w:val="20"/>
        </w:rPr>
        <w:fldChar w:fldCharType="separate"/>
      </w:r>
      <w:r w:rsidRPr="00E30A1B">
        <w:rPr>
          <w:rStyle w:val="Hyperlink"/>
          <w:sz w:val="20"/>
          <w:szCs w:val="20"/>
        </w:rPr>
        <w:t>http://dx.doi.org/10.2139/ssrn.2245098.</w:t>
      </w:r>
    </w:p>
    <w:p w14:paraId="52F34374" w14:textId="1B88C86C" w:rsidR="00A1412B" w:rsidRPr="000B21F0" w:rsidRDefault="00A1412B" w:rsidP="000B21F0">
      <w:pPr>
        <w:pStyle w:val="FootnoteText"/>
        <w:spacing w:line="240" w:lineRule="auto"/>
        <w:rPr>
          <w:sz w:val="20"/>
          <w:szCs w:val="20"/>
        </w:rPr>
      </w:pPr>
      <w:r w:rsidRPr="00E30A1B">
        <w:rPr>
          <w:rStyle w:val="Hyperlink"/>
          <w:sz w:val="20"/>
          <w:szCs w:val="20"/>
        </w:rPr>
        <w:t xml:space="preserve"> </w:t>
      </w:r>
      <w:r>
        <w:rPr>
          <w:sz w:val="20"/>
          <w:szCs w:val="20"/>
        </w:rPr>
        <w:fldChar w:fldCharType="end"/>
      </w:r>
      <w:r w:rsidRPr="000B21F0">
        <w:rPr>
          <w:sz w:val="20"/>
          <w:szCs w:val="20"/>
        </w:rPr>
        <w:t xml:space="preserve"> </w:t>
      </w:r>
    </w:p>
  </w:footnote>
  <w:footnote w:id="18">
    <w:p w14:paraId="3CCF340A" w14:textId="3BD50321" w:rsidR="00A1412B" w:rsidRDefault="00A1412B" w:rsidP="000B21F0">
      <w:pPr>
        <w:pStyle w:val="FootnoteText"/>
        <w:spacing w:line="240" w:lineRule="auto"/>
        <w:rPr>
          <w:sz w:val="20"/>
          <w:szCs w:val="20"/>
        </w:rPr>
      </w:pPr>
      <w:r>
        <w:rPr>
          <w:rStyle w:val="FootnoteReference"/>
        </w:rPr>
        <w:footnoteRef/>
      </w:r>
      <w:r>
        <w:t xml:space="preserve"> </w:t>
      </w:r>
      <w:r>
        <w:rPr>
          <w:sz w:val="20"/>
          <w:szCs w:val="20"/>
        </w:rPr>
        <w:t xml:space="preserve">Oliver E. Williamson, </w:t>
      </w:r>
      <w:r>
        <w:rPr>
          <w:i/>
          <w:sz w:val="20"/>
          <w:szCs w:val="20"/>
        </w:rPr>
        <w:t xml:space="preserve">Transaction-Cost Economics:  The Governance of Contractual Relations, </w:t>
      </w:r>
      <w:r>
        <w:rPr>
          <w:sz w:val="20"/>
          <w:szCs w:val="20"/>
        </w:rPr>
        <w:t xml:space="preserve">22 J. L. &amp; Econ. </w:t>
      </w:r>
      <w:proofErr w:type="gramStart"/>
      <w:r>
        <w:rPr>
          <w:sz w:val="20"/>
          <w:szCs w:val="20"/>
        </w:rPr>
        <w:t>233, 234 (1979).</w:t>
      </w:r>
      <w:proofErr w:type="gramEnd"/>
    </w:p>
    <w:p w14:paraId="3457FB5A" w14:textId="77777777" w:rsidR="00A1412B" w:rsidRPr="00862FBA" w:rsidRDefault="00A1412B" w:rsidP="000B21F0">
      <w:pPr>
        <w:pStyle w:val="FootnoteText"/>
        <w:spacing w:line="240" w:lineRule="auto"/>
        <w:rPr>
          <w:sz w:val="20"/>
          <w:szCs w:val="20"/>
        </w:rPr>
      </w:pPr>
    </w:p>
  </w:footnote>
  <w:footnote w:id="19">
    <w:p w14:paraId="236D645A" w14:textId="1A03AA11" w:rsidR="00A1412B" w:rsidRDefault="00A1412B" w:rsidP="00032C1D">
      <w:pPr>
        <w:pStyle w:val="FootnoteText"/>
        <w:spacing w:line="240" w:lineRule="auto"/>
        <w:rPr>
          <w:sz w:val="20"/>
          <w:szCs w:val="20"/>
        </w:rPr>
      </w:pPr>
      <w:r>
        <w:rPr>
          <w:rStyle w:val="FootnoteReference"/>
        </w:rPr>
        <w:footnoteRef/>
      </w:r>
      <w:r>
        <w:t xml:space="preserve"> </w:t>
      </w:r>
      <w:r w:rsidRPr="00032C1D">
        <w:rPr>
          <w:sz w:val="20"/>
          <w:szCs w:val="20"/>
        </w:rPr>
        <w:t>The state’s general rules of contract provide a set of standar</w:t>
      </w:r>
      <w:r>
        <w:rPr>
          <w:sz w:val="20"/>
          <w:szCs w:val="20"/>
        </w:rPr>
        <w:t xml:space="preserve">d gap filling assumptions or default rules.  </w:t>
      </w:r>
      <w:r w:rsidRPr="00032C1D">
        <w:rPr>
          <w:sz w:val="20"/>
          <w:szCs w:val="20"/>
        </w:rPr>
        <w:t>But every contract requires the parties to provide some additional individualized content.  The</w:t>
      </w:r>
      <w:r>
        <w:rPr>
          <w:sz w:val="20"/>
          <w:szCs w:val="20"/>
        </w:rPr>
        <w:t>se combinations of</w:t>
      </w:r>
      <w:r w:rsidRPr="00032C1D">
        <w:rPr>
          <w:sz w:val="20"/>
          <w:szCs w:val="20"/>
        </w:rPr>
        <w:t xml:space="preserve"> express terms and default terms oper</w:t>
      </w:r>
      <w:r>
        <w:rPr>
          <w:sz w:val="20"/>
          <w:szCs w:val="20"/>
        </w:rPr>
        <w:t>ate on two distinct levels.  On</w:t>
      </w:r>
      <w:r w:rsidRPr="00032C1D">
        <w:rPr>
          <w:sz w:val="20"/>
          <w:szCs w:val="20"/>
        </w:rPr>
        <w:t xml:space="preserve"> one level, they serve as an attempted interparty communication of the risks and entitlements being exchanged.  On another level, these terms</w:t>
      </w:r>
      <w:r>
        <w:rPr>
          <w:sz w:val="20"/>
          <w:szCs w:val="20"/>
        </w:rPr>
        <w:t>,</w:t>
      </w:r>
      <w:r w:rsidRPr="00032C1D">
        <w:rPr>
          <w:sz w:val="20"/>
          <w:szCs w:val="20"/>
        </w:rPr>
        <w:t xml:space="preserve"> in combination</w:t>
      </w:r>
      <w:r>
        <w:rPr>
          <w:sz w:val="20"/>
          <w:szCs w:val="20"/>
        </w:rPr>
        <w:t>,</w:t>
      </w:r>
      <w:r w:rsidRPr="00032C1D">
        <w:rPr>
          <w:sz w:val="20"/>
          <w:szCs w:val="20"/>
        </w:rPr>
        <w:t xml:space="preserve"> communicate evid</w:t>
      </w:r>
      <w:r>
        <w:rPr>
          <w:sz w:val="20"/>
          <w:szCs w:val="20"/>
        </w:rPr>
        <w:t>ence</w:t>
      </w:r>
      <w:r w:rsidRPr="00032C1D">
        <w:rPr>
          <w:sz w:val="20"/>
          <w:szCs w:val="20"/>
        </w:rPr>
        <w:t xml:space="preserve"> of the contractual understanding to the state.  Thus, the</w:t>
      </w:r>
      <w:r>
        <w:rPr>
          <w:sz w:val="20"/>
          <w:szCs w:val="20"/>
        </w:rPr>
        <w:t>y are signals of the legal rela</w:t>
      </w:r>
      <w:r w:rsidRPr="00032C1D">
        <w:rPr>
          <w:sz w:val="20"/>
          <w:szCs w:val="20"/>
        </w:rPr>
        <w:t>tionshi</w:t>
      </w:r>
      <w:r>
        <w:rPr>
          <w:sz w:val="20"/>
          <w:szCs w:val="20"/>
        </w:rPr>
        <w:t>p between the parties.  Unfortu</w:t>
      </w:r>
      <w:r w:rsidRPr="00032C1D">
        <w:rPr>
          <w:sz w:val="20"/>
          <w:szCs w:val="20"/>
        </w:rPr>
        <w:t>n</w:t>
      </w:r>
      <w:r>
        <w:rPr>
          <w:sz w:val="20"/>
          <w:szCs w:val="20"/>
        </w:rPr>
        <w:t>a</w:t>
      </w:r>
      <w:r w:rsidRPr="00032C1D">
        <w:rPr>
          <w:sz w:val="20"/>
          <w:szCs w:val="20"/>
        </w:rPr>
        <w:t>tely</w:t>
      </w:r>
      <w:r>
        <w:rPr>
          <w:sz w:val="20"/>
          <w:szCs w:val="20"/>
        </w:rPr>
        <w:t>,</w:t>
      </w:r>
      <w:r w:rsidRPr="00032C1D">
        <w:rPr>
          <w:sz w:val="20"/>
          <w:szCs w:val="20"/>
        </w:rPr>
        <w:t xml:space="preserve"> these signals are inherently error</w:t>
      </w:r>
      <w:r>
        <w:rPr>
          <w:sz w:val="20"/>
          <w:szCs w:val="20"/>
        </w:rPr>
        <w:t>-</w:t>
      </w:r>
      <w:r w:rsidRPr="00032C1D">
        <w:rPr>
          <w:sz w:val="20"/>
          <w:szCs w:val="20"/>
        </w:rPr>
        <w:t xml:space="preserve"> prone.</w:t>
      </w:r>
      <w:r>
        <w:rPr>
          <w:sz w:val="20"/>
          <w:szCs w:val="20"/>
        </w:rPr>
        <w:t xml:space="preserve"> </w:t>
      </w:r>
      <w:r w:rsidRPr="00032C1D">
        <w:rPr>
          <w:sz w:val="20"/>
          <w:szCs w:val="20"/>
        </w:rPr>
        <w:t xml:space="preserve">For discussion, see Charles J. Goetz &amp; Robert E. Scott, </w:t>
      </w:r>
      <w:r w:rsidRPr="00032C1D">
        <w:rPr>
          <w:i/>
          <w:sz w:val="20"/>
          <w:szCs w:val="20"/>
        </w:rPr>
        <w:t xml:space="preserve">The Limits of Expanded Choice:  An Analysis of the Interactions Between Express and Implied Contract Terms, </w:t>
      </w:r>
      <w:r w:rsidRPr="00032C1D">
        <w:rPr>
          <w:sz w:val="20"/>
          <w:szCs w:val="20"/>
        </w:rPr>
        <w:t>73 Calif. L. Rev. 261 (1985).</w:t>
      </w:r>
    </w:p>
    <w:p w14:paraId="6CB093DE" w14:textId="77777777" w:rsidR="00A1412B" w:rsidRPr="00032C1D" w:rsidRDefault="00A1412B" w:rsidP="00032C1D">
      <w:pPr>
        <w:pStyle w:val="FootnoteText"/>
        <w:spacing w:line="240" w:lineRule="auto"/>
        <w:rPr>
          <w:sz w:val="20"/>
          <w:szCs w:val="20"/>
        </w:rPr>
      </w:pPr>
    </w:p>
  </w:footnote>
  <w:footnote w:id="20">
    <w:p w14:paraId="5B6BB65D" w14:textId="7064E5FF" w:rsidR="00A1412B" w:rsidRDefault="00A1412B" w:rsidP="00854FE2">
      <w:pPr>
        <w:pStyle w:val="FootnoteText"/>
        <w:spacing w:line="240" w:lineRule="auto"/>
        <w:rPr>
          <w:sz w:val="20"/>
          <w:szCs w:val="20"/>
        </w:rPr>
      </w:pPr>
      <w:r>
        <w:rPr>
          <w:rStyle w:val="FootnoteReference"/>
        </w:rPr>
        <w:footnoteRef/>
      </w:r>
      <w:r>
        <w:t xml:space="preserve"> </w:t>
      </w:r>
      <w:r>
        <w:rPr>
          <w:sz w:val="20"/>
          <w:szCs w:val="20"/>
        </w:rPr>
        <w:t xml:space="preserve">See Charles J. Goetz &amp; Robert E. Scott, </w:t>
      </w:r>
      <w:proofErr w:type="gramStart"/>
      <w:r>
        <w:rPr>
          <w:i/>
          <w:sz w:val="20"/>
          <w:szCs w:val="20"/>
        </w:rPr>
        <w:t>The</w:t>
      </w:r>
      <w:proofErr w:type="gramEnd"/>
      <w:r>
        <w:rPr>
          <w:i/>
          <w:sz w:val="20"/>
          <w:szCs w:val="20"/>
        </w:rPr>
        <w:t xml:space="preserve"> Mitigation Principle: Toward a General Theory of Contractual Obligation, </w:t>
      </w:r>
      <w:r>
        <w:rPr>
          <w:sz w:val="20"/>
          <w:szCs w:val="20"/>
        </w:rPr>
        <w:t>69 Va. L. Rev. 967, 977-81 (1983).</w:t>
      </w:r>
    </w:p>
    <w:p w14:paraId="2E526EC2" w14:textId="77777777" w:rsidR="00A1412B" w:rsidRPr="00854FE2" w:rsidRDefault="00A1412B" w:rsidP="00854FE2">
      <w:pPr>
        <w:pStyle w:val="FootnoteText"/>
        <w:spacing w:line="240" w:lineRule="auto"/>
        <w:rPr>
          <w:sz w:val="20"/>
          <w:szCs w:val="20"/>
        </w:rPr>
      </w:pPr>
    </w:p>
  </w:footnote>
  <w:footnote w:id="21">
    <w:p w14:paraId="401574A9" w14:textId="513C1B60" w:rsidR="00A1412B" w:rsidRDefault="00A1412B" w:rsidP="006736DB">
      <w:pPr>
        <w:pStyle w:val="FootnoteText"/>
        <w:spacing w:line="240" w:lineRule="auto"/>
        <w:rPr>
          <w:sz w:val="20"/>
          <w:szCs w:val="20"/>
        </w:rPr>
      </w:pPr>
      <w:r>
        <w:rPr>
          <w:rStyle w:val="FootnoteReference"/>
        </w:rPr>
        <w:footnoteRef/>
      </w:r>
      <w:r>
        <w:t xml:space="preserve"> </w:t>
      </w:r>
      <w:r>
        <w:rPr>
          <w:sz w:val="20"/>
          <w:szCs w:val="20"/>
        </w:rPr>
        <w:t xml:space="preserve">Robert Hillman, </w:t>
      </w:r>
      <w:r>
        <w:rPr>
          <w:i/>
          <w:sz w:val="20"/>
          <w:szCs w:val="20"/>
        </w:rPr>
        <w:t xml:space="preserve">Court Adjustment of Long-Term Contracts:  An Analysis Under Modern Contract Law, </w:t>
      </w:r>
      <w:r w:rsidRPr="006736DB">
        <w:rPr>
          <w:sz w:val="20"/>
          <w:szCs w:val="20"/>
        </w:rPr>
        <w:t xml:space="preserve">1987 Duke L.J. 1; Richard E. </w:t>
      </w:r>
      <w:proofErr w:type="spellStart"/>
      <w:r w:rsidRPr="006736DB">
        <w:rPr>
          <w:sz w:val="20"/>
          <w:szCs w:val="20"/>
        </w:rPr>
        <w:t>Speidel</w:t>
      </w:r>
      <w:proofErr w:type="spellEnd"/>
      <w:r w:rsidRPr="006736DB">
        <w:rPr>
          <w:sz w:val="20"/>
          <w:szCs w:val="20"/>
        </w:rPr>
        <w:t>,</w:t>
      </w:r>
      <w:r>
        <w:rPr>
          <w:i/>
          <w:sz w:val="20"/>
          <w:szCs w:val="20"/>
        </w:rPr>
        <w:t xml:space="preserve"> Court-Imposed Price Adjustments Under Long-Term Supply Contracts, </w:t>
      </w:r>
      <w:r>
        <w:rPr>
          <w:sz w:val="20"/>
          <w:szCs w:val="20"/>
        </w:rPr>
        <w:t xml:space="preserve">76 Nw. U. L. Rev. 369 (1981):  Richard E. </w:t>
      </w:r>
      <w:proofErr w:type="spellStart"/>
      <w:r>
        <w:rPr>
          <w:sz w:val="20"/>
          <w:szCs w:val="20"/>
        </w:rPr>
        <w:t>Speidel</w:t>
      </w:r>
      <w:proofErr w:type="spellEnd"/>
      <w:r>
        <w:rPr>
          <w:sz w:val="20"/>
          <w:szCs w:val="20"/>
        </w:rPr>
        <w:t xml:space="preserve">, </w:t>
      </w:r>
      <w:r>
        <w:rPr>
          <w:i/>
          <w:sz w:val="20"/>
          <w:szCs w:val="20"/>
        </w:rPr>
        <w:t xml:space="preserve">The New Spirit of Contract, </w:t>
      </w:r>
      <w:r>
        <w:rPr>
          <w:sz w:val="20"/>
          <w:szCs w:val="20"/>
        </w:rPr>
        <w:t xml:space="preserve">2 </w:t>
      </w:r>
      <w:proofErr w:type="spellStart"/>
      <w:r>
        <w:rPr>
          <w:sz w:val="20"/>
          <w:szCs w:val="20"/>
        </w:rPr>
        <w:t>J.Law</w:t>
      </w:r>
      <w:proofErr w:type="spellEnd"/>
      <w:r>
        <w:rPr>
          <w:sz w:val="20"/>
          <w:szCs w:val="20"/>
        </w:rPr>
        <w:t xml:space="preserve"> &amp; Comm. 193 (1983).</w:t>
      </w:r>
    </w:p>
    <w:p w14:paraId="52F3B8E2" w14:textId="77777777" w:rsidR="00A1412B" w:rsidRPr="006736DB" w:rsidRDefault="00A1412B" w:rsidP="006736DB">
      <w:pPr>
        <w:pStyle w:val="FootnoteText"/>
        <w:spacing w:line="240" w:lineRule="auto"/>
        <w:rPr>
          <w:sz w:val="20"/>
          <w:szCs w:val="20"/>
        </w:rPr>
      </w:pPr>
    </w:p>
  </w:footnote>
  <w:footnote w:id="22">
    <w:p w14:paraId="29C4A684" w14:textId="33007325" w:rsidR="00A1412B" w:rsidRDefault="00A1412B" w:rsidP="00322112">
      <w:pPr>
        <w:pStyle w:val="FootnoteText"/>
        <w:spacing w:line="240" w:lineRule="auto"/>
        <w:rPr>
          <w:sz w:val="20"/>
          <w:szCs w:val="20"/>
        </w:rPr>
      </w:pPr>
      <w:r>
        <w:rPr>
          <w:rStyle w:val="FootnoteReference"/>
        </w:rPr>
        <w:footnoteRef/>
      </w:r>
      <w:r>
        <w:t xml:space="preserve"> </w:t>
      </w:r>
      <w:r>
        <w:rPr>
          <w:sz w:val="20"/>
          <w:szCs w:val="20"/>
        </w:rPr>
        <w:t xml:space="preserve">Soft terms such as “good faith adjustment” remain as intractably ambiguous to judges as to the parties themselves, especially since the promisor can act strategically in establishing the facts and in persuading the court what “good faith” should entail. </w:t>
      </w:r>
    </w:p>
    <w:p w14:paraId="6B089316" w14:textId="77777777" w:rsidR="00A1412B" w:rsidRPr="00854FE2" w:rsidRDefault="00A1412B" w:rsidP="00322112">
      <w:pPr>
        <w:pStyle w:val="FootnoteText"/>
        <w:spacing w:line="240" w:lineRule="auto"/>
        <w:rPr>
          <w:sz w:val="20"/>
          <w:szCs w:val="20"/>
        </w:rPr>
      </w:pPr>
    </w:p>
  </w:footnote>
  <w:footnote w:id="23">
    <w:p w14:paraId="6FC31C31" w14:textId="2853C9C8" w:rsidR="00A1412B" w:rsidRDefault="00A1412B" w:rsidP="00322112">
      <w:pPr>
        <w:pStyle w:val="FootnoteText"/>
        <w:spacing w:line="240" w:lineRule="auto"/>
        <w:rPr>
          <w:sz w:val="20"/>
          <w:szCs w:val="20"/>
        </w:rPr>
      </w:pPr>
      <w:r>
        <w:rPr>
          <w:rStyle w:val="FootnoteReference"/>
        </w:rPr>
        <w:footnoteRef/>
      </w:r>
      <w:r>
        <w:t xml:space="preserve"> </w:t>
      </w:r>
      <w:proofErr w:type="gramStart"/>
      <w:r>
        <w:rPr>
          <w:sz w:val="20"/>
          <w:szCs w:val="20"/>
        </w:rPr>
        <w:t xml:space="preserve">Robert E. Scott, </w:t>
      </w:r>
      <w:r>
        <w:rPr>
          <w:i/>
          <w:sz w:val="20"/>
          <w:szCs w:val="20"/>
        </w:rPr>
        <w:t xml:space="preserve">Conflict and Cooperation in Long Term Contracts, </w:t>
      </w:r>
      <w:r>
        <w:rPr>
          <w:sz w:val="20"/>
          <w:szCs w:val="20"/>
        </w:rPr>
        <w:t>75 Calif. L. Rev. 2005, 2031 (1987).</w:t>
      </w:r>
      <w:proofErr w:type="gramEnd"/>
    </w:p>
    <w:p w14:paraId="5FB0273A" w14:textId="77777777" w:rsidR="00A1412B" w:rsidRPr="00322112" w:rsidRDefault="00A1412B" w:rsidP="00322112">
      <w:pPr>
        <w:pStyle w:val="FootnoteText"/>
        <w:spacing w:line="240" w:lineRule="auto"/>
        <w:rPr>
          <w:sz w:val="20"/>
          <w:szCs w:val="20"/>
        </w:rPr>
      </w:pPr>
    </w:p>
  </w:footnote>
  <w:footnote w:id="24">
    <w:p w14:paraId="09B1673F" w14:textId="68FE347A" w:rsidR="00A1412B" w:rsidRDefault="00A1412B" w:rsidP="009A0020">
      <w:pPr>
        <w:pStyle w:val="FootnoteText"/>
        <w:spacing w:line="240" w:lineRule="auto"/>
        <w:rPr>
          <w:sz w:val="20"/>
          <w:szCs w:val="20"/>
        </w:rPr>
      </w:pPr>
      <w:r>
        <w:rPr>
          <w:rStyle w:val="FootnoteReference"/>
        </w:rPr>
        <w:footnoteRef/>
      </w:r>
      <w:r w:rsidRPr="009A0020">
        <w:rPr>
          <w:sz w:val="20"/>
          <w:szCs w:val="20"/>
        </w:rPr>
        <w:t xml:space="preserve">When parties choose formal contract they enlist the state through the judicial system to assess the performance of their specified rights and obligations and impose remedies in the event of breach.  Alternatively, parties can enforce the agreement informally by their actions alone, without judicial intervention.  In this case, performance is encouraged and breach penalized by the cancellation of expected future dealings with the counterparty, or by the  loss of reputation (with the resulting reduction in future business with other potential counterparties in the relevant economic and social communities), or by an individual taste for reciprocity that rewards cooperation and punishes defection.  See, e.g., Benjamin Klein, </w:t>
      </w:r>
      <w:r w:rsidRPr="009A0020">
        <w:rPr>
          <w:i/>
          <w:iCs/>
          <w:sz w:val="20"/>
          <w:szCs w:val="20"/>
        </w:rPr>
        <w:t>Why Hold-Ups Occur: The Self-Enforcing Range of Contractual Relationships</w:t>
      </w:r>
      <w:r w:rsidRPr="009A0020">
        <w:rPr>
          <w:sz w:val="20"/>
          <w:szCs w:val="20"/>
        </w:rPr>
        <w:t xml:space="preserve">, 34 Econ. Inquiry 444 (1996); Janet </w:t>
      </w:r>
      <w:proofErr w:type="spellStart"/>
      <w:r w:rsidRPr="009A0020">
        <w:rPr>
          <w:sz w:val="20"/>
          <w:szCs w:val="20"/>
        </w:rPr>
        <w:t>Landa</w:t>
      </w:r>
      <w:proofErr w:type="spellEnd"/>
      <w:r w:rsidRPr="009A0020">
        <w:rPr>
          <w:sz w:val="20"/>
          <w:szCs w:val="20"/>
        </w:rPr>
        <w:t xml:space="preserve">, </w:t>
      </w:r>
      <w:proofErr w:type="gramStart"/>
      <w:r w:rsidRPr="009A0020">
        <w:rPr>
          <w:i/>
          <w:iCs/>
          <w:sz w:val="20"/>
          <w:szCs w:val="20"/>
        </w:rPr>
        <w:t>A</w:t>
      </w:r>
      <w:proofErr w:type="gramEnd"/>
      <w:r w:rsidRPr="009A0020">
        <w:rPr>
          <w:i/>
          <w:iCs/>
          <w:sz w:val="20"/>
          <w:szCs w:val="20"/>
        </w:rPr>
        <w:t xml:space="preserve"> Theory of the Ethnically Homogenous Middleman Group: An Institutional Alternative to Contract Law</w:t>
      </w:r>
      <w:r w:rsidRPr="009A0020">
        <w:rPr>
          <w:i/>
          <w:sz w:val="20"/>
          <w:szCs w:val="20"/>
        </w:rPr>
        <w:t xml:space="preserve">, </w:t>
      </w:r>
      <w:r w:rsidRPr="009A0020">
        <w:rPr>
          <w:sz w:val="20"/>
          <w:szCs w:val="20"/>
        </w:rPr>
        <w:t xml:space="preserve">10 J. Legal Stud. </w:t>
      </w:r>
      <w:proofErr w:type="gramStart"/>
      <w:r w:rsidRPr="009A0020">
        <w:rPr>
          <w:sz w:val="20"/>
          <w:szCs w:val="20"/>
        </w:rPr>
        <w:t>349 (1981).</w:t>
      </w:r>
      <w:proofErr w:type="gramEnd"/>
      <w:r w:rsidRPr="009A0020">
        <w:rPr>
          <w:sz w:val="20"/>
          <w:szCs w:val="20"/>
        </w:rPr>
        <w:t xml:space="preserve"> An excellent survey of early informal enforcement mechanisms is </w:t>
      </w:r>
      <w:proofErr w:type="spellStart"/>
      <w:r w:rsidRPr="009A0020">
        <w:rPr>
          <w:sz w:val="20"/>
          <w:szCs w:val="20"/>
        </w:rPr>
        <w:t>Avner</w:t>
      </w:r>
      <w:proofErr w:type="spellEnd"/>
      <w:r w:rsidRPr="009A0020">
        <w:rPr>
          <w:sz w:val="20"/>
          <w:szCs w:val="20"/>
        </w:rPr>
        <w:t xml:space="preserve"> Grief, </w:t>
      </w:r>
      <w:r w:rsidRPr="009A0020">
        <w:rPr>
          <w:i/>
          <w:iCs/>
          <w:sz w:val="20"/>
          <w:szCs w:val="20"/>
        </w:rPr>
        <w:t>Informal Contract Enforcement: Lessons from Medieval Trade</w:t>
      </w:r>
      <w:r w:rsidRPr="009A0020">
        <w:rPr>
          <w:sz w:val="20"/>
          <w:szCs w:val="20"/>
        </w:rPr>
        <w:t xml:space="preserve"> in 2 The New Palgrave Dictionary of Economics and Law 287 (Peter Newman, ed. 1998).</w:t>
      </w:r>
      <w:r>
        <w:rPr>
          <w:sz w:val="20"/>
          <w:szCs w:val="20"/>
        </w:rPr>
        <w:t xml:space="preserve"> </w:t>
      </w:r>
      <w:r w:rsidRPr="009A0020">
        <w:rPr>
          <w:sz w:val="20"/>
          <w:szCs w:val="20"/>
        </w:rPr>
        <w:t xml:space="preserve"> For discussion of how iterative interactions between parties to long term contracts can create a stable equilibrium of enforceable obligations in the absence of a substantial exogenous shock, see Scott, </w:t>
      </w:r>
      <w:r w:rsidRPr="009A0020">
        <w:rPr>
          <w:i/>
          <w:sz w:val="20"/>
          <w:szCs w:val="20"/>
        </w:rPr>
        <w:t>Conflict and Cooperation</w:t>
      </w:r>
      <w:proofErr w:type="gramStart"/>
      <w:r w:rsidRPr="009A0020">
        <w:rPr>
          <w:i/>
          <w:sz w:val="20"/>
          <w:szCs w:val="20"/>
        </w:rPr>
        <w:t xml:space="preserve">,  </w:t>
      </w:r>
      <w:r w:rsidRPr="009A0020">
        <w:rPr>
          <w:sz w:val="20"/>
          <w:szCs w:val="20"/>
        </w:rPr>
        <w:t>supra</w:t>
      </w:r>
      <w:proofErr w:type="gramEnd"/>
      <w:r w:rsidRPr="009A0020">
        <w:rPr>
          <w:sz w:val="20"/>
          <w:szCs w:val="20"/>
        </w:rPr>
        <w:t xml:space="preserve"> note --- at 2027-3</w:t>
      </w:r>
      <w:r>
        <w:rPr>
          <w:sz w:val="20"/>
          <w:szCs w:val="20"/>
        </w:rPr>
        <w:t>0.</w:t>
      </w:r>
    </w:p>
    <w:p w14:paraId="77713C70" w14:textId="77777777" w:rsidR="00A1412B" w:rsidRPr="009A0020" w:rsidRDefault="00A1412B" w:rsidP="009A0020">
      <w:pPr>
        <w:ind w:firstLine="720"/>
        <w:rPr>
          <w:rFonts w:ascii="Times New Roman" w:hAnsi="Times New Roman" w:cs="Times New Roman"/>
          <w:sz w:val="20"/>
          <w:szCs w:val="20"/>
        </w:rPr>
      </w:pPr>
    </w:p>
  </w:footnote>
  <w:footnote w:id="25">
    <w:p w14:paraId="277E8F51" w14:textId="748B01A6" w:rsidR="00A1412B" w:rsidRDefault="00A1412B" w:rsidP="009A0020">
      <w:pPr>
        <w:pStyle w:val="FootnoteText"/>
        <w:spacing w:line="240" w:lineRule="auto"/>
        <w:rPr>
          <w:sz w:val="20"/>
          <w:szCs w:val="20"/>
        </w:rPr>
      </w:pPr>
      <w:r>
        <w:rPr>
          <w:rStyle w:val="FootnoteReference"/>
        </w:rPr>
        <w:footnoteRef/>
      </w:r>
      <w:r>
        <w:t xml:space="preserve"> </w:t>
      </w:r>
      <w:proofErr w:type="gramStart"/>
      <w:r w:rsidRPr="009A0020">
        <w:rPr>
          <w:sz w:val="20"/>
          <w:szCs w:val="20"/>
        </w:rPr>
        <w:t>See e.g</w:t>
      </w:r>
      <w:r w:rsidRPr="009A0020">
        <w:rPr>
          <w:iCs/>
          <w:sz w:val="20"/>
          <w:szCs w:val="20"/>
        </w:rPr>
        <w:t>., Ernst Fehr, Alexander Klein &amp; Klaus M. Schmidt</w:t>
      </w:r>
      <w:r>
        <w:rPr>
          <w:iCs/>
          <w:sz w:val="20"/>
          <w:szCs w:val="20"/>
        </w:rPr>
        <w:t>,</w:t>
      </w:r>
      <w:r w:rsidRPr="009A0020">
        <w:rPr>
          <w:sz w:val="20"/>
          <w:szCs w:val="20"/>
        </w:rPr>
        <w:t xml:space="preserve"> </w:t>
      </w:r>
      <w:r w:rsidRPr="009A0020">
        <w:rPr>
          <w:i/>
          <w:sz w:val="20"/>
          <w:szCs w:val="20"/>
        </w:rPr>
        <w:t>Fairness and Contract Design</w:t>
      </w:r>
      <w:r w:rsidRPr="009A0020">
        <w:rPr>
          <w:sz w:val="20"/>
          <w:szCs w:val="20"/>
        </w:rPr>
        <w:t xml:space="preserve">, </w:t>
      </w:r>
      <w:r w:rsidRPr="009A0020">
        <w:rPr>
          <w:iCs/>
          <w:sz w:val="20"/>
          <w:szCs w:val="20"/>
        </w:rPr>
        <w:t xml:space="preserve">75 </w:t>
      </w:r>
      <w:proofErr w:type="spellStart"/>
      <w:r w:rsidRPr="009A0020">
        <w:rPr>
          <w:iCs/>
          <w:sz w:val="20"/>
          <w:szCs w:val="20"/>
        </w:rPr>
        <w:t>Econometrica</w:t>
      </w:r>
      <w:proofErr w:type="spellEnd"/>
      <w:r w:rsidRPr="009A0020">
        <w:rPr>
          <w:iCs/>
          <w:sz w:val="20"/>
          <w:szCs w:val="20"/>
        </w:rPr>
        <w:t xml:space="preserve"> 121 (2007);</w:t>
      </w:r>
      <w:r w:rsidRPr="009A0020">
        <w:rPr>
          <w:sz w:val="20"/>
          <w:szCs w:val="20"/>
        </w:rPr>
        <w:t xml:space="preserve"> Ernst Fehr &amp; Klaus M. Schmidt,</w:t>
      </w:r>
      <w:r>
        <w:rPr>
          <w:sz w:val="20"/>
          <w:szCs w:val="20"/>
        </w:rPr>
        <w:t xml:space="preserve"> </w:t>
      </w:r>
      <w:r w:rsidRPr="009A0020">
        <w:rPr>
          <w:i/>
          <w:iCs/>
          <w:sz w:val="20"/>
          <w:szCs w:val="20"/>
        </w:rPr>
        <w:t>Adding a Stick to the Carrot?</w:t>
      </w:r>
      <w:proofErr w:type="gramEnd"/>
      <w:r w:rsidRPr="009A0020">
        <w:rPr>
          <w:i/>
          <w:iCs/>
          <w:sz w:val="20"/>
          <w:szCs w:val="20"/>
        </w:rPr>
        <w:t xml:space="preserve"> </w:t>
      </w:r>
      <w:proofErr w:type="gramStart"/>
      <w:r w:rsidRPr="009A0020">
        <w:rPr>
          <w:i/>
          <w:iCs/>
          <w:sz w:val="20"/>
          <w:szCs w:val="20"/>
        </w:rPr>
        <w:t>The Interaction of Bonuses and Fines,</w:t>
      </w:r>
      <w:r w:rsidRPr="009A0020">
        <w:rPr>
          <w:sz w:val="20"/>
          <w:szCs w:val="20"/>
        </w:rPr>
        <w:t xml:space="preserve"> 97 Amer. Econ.</w:t>
      </w:r>
      <w:proofErr w:type="gramEnd"/>
      <w:r w:rsidRPr="009A0020">
        <w:rPr>
          <w:sz w:val="20"/>
          <w:szCs w:val="20"/>
        </w:rPr>
        <w:t xml:space="preserve"> </w:t>
      </w:r>
      <w:proofErr w:type="gramStart"/>
      <w:r w:rsidRPr="009A0020">
        <w:rPr>
          <w:sz w:val="20"/>
          <w:szCs w:val="20"/>
        </w:rPr>
        <w:t xml:space="preserve">Rev. 177 (2007); Ernst Fehr, Simon </w:t>
      </w:r>
      <w:proofErr w:type="spellStart"/>
      <w:r w:rsidRPr="009A0020">
        <w:rPr>
          <w:sz w:val="20"/>
          <w:szCs w:val="20"/>
        </w:rPr>
        <w:t>Gächter</w:t>
      </w:r>
      <w:proofErr w:type="spellEnd"/>
      <w:r w:rsidRPr="009A0020">
        <w:rPr>
          <w:sz w:val="20"/>
          <w:szCs w:val="20"/>
        </w:rPr>
        <w:t xml:space="preserve"> &amp; Georg </w:t>
      </w:r>
      <w:proofErr w:type="spellStart"/>
      <w:r w:rsidRPr="009A0020">
        <w:rPr>
          <w:sz w:val="20"/>
          <w:szCs w:val="20"/>
        </w:rPr>
        <w:t>Kirchsteiger</w:t>
      </w:r>
      <w:proofErr w:type="spellEnd"/>
      <w:r w:rsidRPr="009A0020">
        <w:rPr>
          <w:sz w:val="20"/>
          <w:szCs w:val="20"/>
        </w:rPr>
        <w:t xml:space="preserve">, </w:t>
      </w:r>
      <w:r w:rsidRPr="009A0020">
        <w:rPr>
          <w:i/>
          <w:iCs/>
          <w:sz w:val="20"/>
          <w:szCs w:val="20"/>
        </w:rPr>
        <w:t>Gift Exchange and Reciprocity in Competitive Experimental Markets</w:t>
      </w:r>
      <w:r w:rsidRPr="009A0020">
        <w:rPr>
          <w:iCs/>
          <w:sz w:val="20"/>
          <w:szCs w:val="20"/>
        </w:rPr>
        <w:t xml:space="preserve">, </w:t>
      </w:r>
      <w:r>
        <w:rPr>
          <w:sz w:val="20"/>
          <w:szCs w:val="20"/>
        </w:rPr>
        <w:t>42 Eur. Econ.</w:t>
      </w:r>
      <w:proofErr w:type="gramEnd"/>
      <w:r>
        <w:rPr>
          <w:sz w:val="20"/>
          <w:szCs w:val="20"/>
        </w:rPr>
        <w:t xml:space="preserve"> </w:t>
      </w:r>
      <w:proofErr w:type="gramStart"/>
      <w:r>
        <w:rPr>
          <w:sz w:val="20"/>
          <w:szCs w:val="20"/>
        </w:rPr>
        <w:t>Rev. 1 (1998).</w:t>
      </w:r>
      <w:proofErr w:type="gramEnd"/>
    </w:p>
    <w:p w14:paraId="71C030DE" w14:textId="77777777" w:rsidR="00A1412B" w:rsidRPr="009A0020" w:rsidRDefault="00A1412B" w:rsidP="009A0020">
      <w:pPr>
        <w:pStyle w:val="FootnoteText"/>
        <w:spacing w:line="240" w:lineRule="auto"/>
        <w:rPr>
          <w:sz w:val="20"/>
          <w:szCs w:val="20"/>
        </w:rPr>
      </w:pPr>
    </w:p>
  </w:footnote>
  <w:footnote w:id="26">
    <w:p w14:paraId="4D6FB670" w14:textId="69658A33" w:rsidR="00A1412B" w:rsidRDefault="00A1412B">
      <w:pPr>
        <w:pStyle w:val="FootnoteText"/>
      </w:pPr>
      <w:r>
        <w:rPr>
          <w:rStyle w:val="FootnoteReference"/>
        </w:rPr>
        <w:footnoteRef/>
      </w:r>
      <w:r>
        <w:t xml:space="preserve"> </w:t>
      </w:r>
      <w:r w:rsidRPr="00284A8C">
        <w:rPr>
          <w:sz w:val="20"/>
          <w:szCs w:val="20"/>
        </w:rPr>
        <w:t>See text accompanying notes – supra.</w:t>
      </w:r>
    </w:p>
  </w:footnote>
  <w:footnote w:id="27">
    <w:p w14:paraId="172D19C6" w14:textId="77777777" w:rsidR="00A1412B" w:rsidRPr="00A1412B" w:rsidRDefault="00A1412B" w:rsidP="00A1412B">
      <w:pPr>
        <w:shd w:val="clear" w:color="auto" w:fill="FFFFFF"/>
        <w:ind w:firstLine="720"/>
        <w:rPr>
          <w:rFonts w:ascii="Times New Roman" w:hAnsi="Times New Roman" w:cs="Times New Roman"/>
          <w:color w:val="222222"/>
          <w:sz w:val="20"/>
          <w:szCs w:val="20"/>
        </w:rPr>
      </w:pPr>
      <w:r w:rsidRPr="00ED07FE">
        <w:rPr>
          <w:rStyle w:val="FootnoteReference"/>
          <w:sz w:val="20"/>
          <w:szCs w:val="20"/>
        </w:rPr>
        <w:footnoteRef/>
      </w:r>
      <w:r w:rsidRPr="00ED07FE">
        <w:rPr>
          <w:sz w:val="20"/>
          <w:szCs w:val="20"/>
        </w:rPr>
        <w:t xml:space="preserve"> </w:t>
      </w:r>
      <w:r w:rsidRPr="00A1412B">
        <w:rPr>
          <w:rFonts w:ascii="Times New Roman" w:hAnsi="Times New Roman" w:cs="Times New Roman"/>
          <w:color w:val="222222"/>
          <w:sz w:val="20"/>
          <w:szCs w:val="20"/>
        </w:rPr>
        <w:t xml:space="preserve">The empirical exercise examined a sample of cases for consistency with the two hypotheses. Searches for “Contract Breach Ambiguity,” “Contract Breach Mistake,” and “Contract Breach Plain Meaning” from “All State” and “All Federal” cases on Westlaw produced a population of over ten thousand cases.  A random sample of seventy-five cases was selected from this population. The cases produced by each search term were first sorted by relevance. Starting with the first case from each list, every fourth case was selected for the sample for a total of twenty-five of the 100 most relevant cases (i.e., cases one, five, nine ... ninety-seven). Conducting this procedure for each of the three search terms produced a sample of seventy-five cases. Of these seventy-five cases, there were sixty-six unique cases. The sixty-six cases were coded for (1) if Type I or Type II shading was a plausibly component of the suit, (2) express or inferred claims by one party that the counterparty was behaving strategically, and (3) if the court found that one party was indeed acting </w:t>
      </w:r>
      <w:proofErr w:type="gramStart"/>
      <w:r w:rsidRPr="00A1412B">
        <w:rPr>
          <w:rFonts w:ascii="Times New Roman" w:hAnsi="Times New Roman" w:cs="Times New Roman"/>
          <w:color w:val="222222"/>
          <w:sz w:val="20"/>
          <w:szCs w:val="20"/>
        </w:rPr>
        <w:t>opportunistically .</w:t>
      </w:r>
      <w:proofErr w:type="gramEnd"/>
      <w:r w:rsidRPr="00A1412B">
        <w:rPr>
          <w:rFonts w:ascii="Times New Roman" w:hAnsi="Times New Roman" w:cs="Times New Roman"/>
          <w:color w:val="222222"/>
          <w:sz w:val="20"/>
          <w:szCs w:val="20"/>
        </w:rPr>
        <w:t xml:space="preserve"> Each case was then categorized as Category One (shading is plausible), Category Two (shading is plausible and strategic behavior was alleged), or Category Three (shading is plausible, strategic behavior was alleged, and the court found opportunistic behavior).  </w:t>
      </w:r>
      <w:r w:rsidRPr="00A1412B">
        <w:rPr>
          <w:rFonts w:ascii="Times New Roman" w:hAnsi="Times New Roman" w:cs="Times New Roman"/>
          <w:sz w:val="20"/>
          <w:szCs w:val="20"/>
        </w:rPr>
        <w:t>See cases cited in Appendix A.</w:t>
      </w:r>
    </w:p>
    <w:p w14:paraId="38427F59" w14:textId="77777777" w:rsidR="00A1412B" w:rsidRPr="00D31CE2" w:rsidRDefault="00A1412B" w:rsidP="00A1412B">
      <w:pPr>
        <w:widowControl w:val="0"/>
        <w:autoSpaceDE w:val="0"/>
        <w:autoSpaceDN w:val="0"/>
        <w:adjustRightInd w:val="0"/>
        <w:ind w:firstLine="720"/>
        <w:rPr>
          <w:rFonts w:ascii="Times New Roman" w:hAnsi="Times New Roman" w:cs="Times New Roman"/>
          <w:sz w:val="20"/>
          <w:szCs w:val="20"/>
        </w:rPr>
      </w:pPr>
    </w:p>
  </w:footnote>
  <w:footnote w:id="28">
    <w:p w14:paraId="0BADF4CA" w14:textId="0B8ECEBD" w:rsidR="00A1412B" w:rsidRDefault="00A1412B" w:rsidP="00882653">
      <w:pPr>
        <w:pStyle w:val="FootnoteText"/>
        <w:spacing w:line="240" w:lineRule="auto"/>
        <w:rPr>
          <w:b/>
          <w:sz w:val="20"/>
          <w:szCs w:val="20"/>
        </w:rPr>
      </w:pPr>
      <w:r w:rsidRPr="00ED07FE">
        <w:rPr>
          <w:rStyle w:val="FootnoteReference"/>
          <w:sz w:val="20"/>
          <w:szCs w:val="20"/>
        </w:rPr>
        <w:footnoteRef/>
      </w:r>
      <w:r>
        <w:t xml:space="preserve"> </w:t>
      </w:r>
      <w:r w:rsidRPr="000B21F0">
        <w:rPr>
          <w:i/>
          <w:sz w:val="20"/>
          <w:szCs w:val="20"/>
        </w:rPr>
        <w:t>See</w:t>
      </w:r>
      <w:r w:rsidRPr="000B21F0">
        <w:rPr>
          <w:sz w:val="20"/>
          <w:szCs w:val="20"/>
        </w:rPr>
        <w:t xml:space="preserve"> Emily </w:t>
      </w:r>
      <w:proofErr w:type="spellStart"/>
      <w:r w:rsidRPr="000B21F0">
        <w:rPr>
          <w:sz w:val="20"/>
          <w:szCs w:val="20"/>
        </w:rPr>
        <w:t>Kadens</w:t>
      </w:r>
      <w:proofErr w:type="spellEnd"/>
      <w:r w:rsidRPr="000B21F0">
        <w:rPr>
          <w:sz w:val="20"/>
          <w:szCs w:val="20"/>
        </w:rPr>
        <w:t xml:space="preserve">, </w:t>
      </w:r>
      <w:r w:rsidRPr="000B21F0">
        <w:rPr>
          <w:i/>
          <w:sz w:val="20"/>
          <w:szCs w:val="20"/>
        </w:rPr>
        <w:t>The Myth of the Customary Law Merchant</w:t>
      </w:r>
      <w:r w:rsidRPr="000B21F0">
        <w:rPr>
          <w:sz w:val="20"/>
          <w:szCs w:val="20"/>
        </w:rPr>
        <w:t>,</w:t>
      </w:r>
      <w:r w:rsidRPr="000B21F0">
        <w:rPr>
          <w:i/>
          <w:sz w:val="20"/>
          <w:szCs w:val="20"/>
        </w:rPr>
        <w:t xml:space="preserve"> </w:t>
      </w:r>
      <w:r w:rsidRPr="000B21F0">
        <w:rPr>
          <w:sz w:val="20"/>
          <w:szCs w:val="20"/>
        </w:rPr>
        <w:t xml:space="preserve">90 </w:t>
      </w:r>
      <w:r w:rsidRPr="000B21F0">
        <w:rPr>
          <w:smallCaps/>
          <w:sz w:val="20"/>
          <w:szCs w:val="20"/>
        </w:rPr>
        <w:t>Tex. L. Rev.</w:t>
      </w:r>
      <w:r w:rsidRPr="000B21F0">
        <w:rPr>
          <w:sz w:val="20"/>
          <w:szCs w:val="20"/>
        </w:rPr>
        <w:t xml:space="preserve"> 1153, 1176–77 (2012); Lisa Bernstein, Trade Usage in the Courts: The Flawed Conceptual and Evidentiary Basis of Article 2’s Incorporation Strategy 18–21 (Jan. 10, 2014) (unpublished manuscript) [hereinafter Bernstein, Trade Usage in the Courts], </w:t>
      </w:r>
      <w:r w:rsidRPr="000B21F0">
        <w:rPr>
          <w:i/>
          <w:sz w:val="20"/>
          <w:szCs w:val="20"/>
        </w:rPr>
        <w:t>available at</w:t>
      </w:r>
      <w:r w:rsidRPr="000B21F0">
        <w:rPr>
          <w:sz w:val="20"/>
          <w:szCs w:val="20"/>
        </w:rPr>
        <w:t xml:space="preserve"> http://ssrn.com/abstract=2366533  (analyzing empirical evidence showing courts typically rely on unreliable evidence to establish usages); Lisa Bernstein, </w:t>
      </w:r>
      <w:r w:rsidRPr="000B21F0">
        <w:rPr>
          <w:i/>
          <w:color w:val="000000" w:themeColor="text1"/>
          <w:sz w:val="20"/>
          <w:szCs w:val="20"/>
        </w:rPr>
        <w:t>Merchant Law in a Modern Economy</w:t>
      </w:r>
      <w:r w:rsidRPr="000B21F0">
        <w:rPr>
          <w:color w:val="000000" w:themeColor="text1"/>
          <w:sz w:val="20"/>
          <w:szCs w:val="20"/>
        </w:rPr>
        <w:t xml:space="preserve"> 9–12 (Univ. of Chi. Law Sch. </w:t>
      </w:r>
      <w:proofErr w:type="spellStart"/>
      <w:r w:rsidRPr="000B21F0">
        <w:rPr>
          <w:color w:val="000000" w:themeColor="text1"/>
          <w:sz w:val="20"/>
          <w:szCs w:val="20"/>
        </w:rPr>
        <w:t>Coase-Sandor</w:t>
      </w:r>
      <w:proofErr w:type="spellEnd"/>
      <w:r w:rsidRPr="000B21F0">
        <w:rPr>
          <w:color w:val="000000" w:themeColor="text1"/>
          <w:sz w:val="20"/>
          <w:szCs w:val="20"/>
        </w:rPr>
        <w:t xml:space="preserve"> Inst. for Law &amp; Econ. </w:t>
      </w:r>
      <w:proofErr w:type="gramStart"/>
      <w:r w:rsidRPr="000B21F0">
        <w:rPr>
          <w:color w:val="000000" w:themeColor="text1"/>
          <w:sz w:val="20"/>
          <w:szCs w:val="20"/>
        </w:rPr>
        <w:t xml:space="preserve">Research, Paper No. 639, 2013) [hereinafter Bernstein, </w:t>
      </w:r>
      <w:r w:rsidRPr="000B21F0">
        <w:rPr>
          <w:i/>
          <w:color w:val="000000" w:themeColor="text1"/>
          <w:sz w:val="20"/>
          <w:szCs w:val="20"/>
        </w:rPr>
        <w:t>Merchant Law in a Modern Economy</w:t>
      </w:r>
      <w:r w:rsidRPr="000B21F0">
        <w:rPr>
          <w:color w:val="000000" w:themeColor="text1"/>
          <w:sz w:val="20"/>
          <w:szCs w:val="20"/>
        </w:rPr>
        <w:t xml:space="preserve">], </w:t>
      </w:r>
      <w:r w:rsidRPr="000B21F0">
        <w:rPr>
          <w:i/>
          <w:color w:val="000000" w:themeColor="text1"/>
          <w:sz w:val="20"/>
          <w:szCs w:val="20"/>
        </w:rPr>
        <w:t>available at</w:t>
      </w:r>
      <w:r w:rsidRPr="000B21F0">
        <w:rPr>
          <w:color w:val="000000" w:themeColor="text1"/>
          <w:sz w:val="20"/>
          <w:szCs w:val="20"/>
        </w:rPr>
        <w:t xml:space="preserve"> http://ssrn.com/abstract=2242490</w:t>
      </w:r>
      <w:r w:rsidRPr="000B21F0">
        <w:rPr>
          <w:sz w:val="20"/>
          <w:szCs w:val="20"/>
        </w:rPr>
        <w:t>.</w:t>
      </w:r>
      <w:proofErr w:type="gramEnd"/>
      <w:r w:rsidRPr="000B21F0">
        <w:rPr>
          <w:b/>
          <w:sz w:val="20"/>
          <w:szCs w:val="20"/>
        </w:rPr>
        <w:t xml:space="preserve">  </w:t>
      </w:r>
    </w:p>
    <w:p w14:paraId="0565B315" w14:textId="77777777" w:rsidR="00A1412B" w:rsidRPr="000B21F0" w:rsidRDefault="00A1412B" w:rsidP="00882653">
      <w:pPr>
        <w:pStyle w:val="FootnoteText"/>
        <w:spacing w:line="240" w:lineRule="auto"/>
        <w:rPr>
          <w:sz w:val="20"/>
          <w:szCs w:val="20"/>
        </w:rPr>
      </w:pPr>
    </w:p>
  </w:footnote>
  <w:footnote w:id="29">
    <w:p w14:paraId="438A9B04" w14:textId="436833AD" w:rsidR="00A1412B" w:rsidRPr="006D6885" w:rsidRDefault="00A1412B" w:rsidP="001E7DF3">
      <w:pPr>
        <w:ind w:firstLine="720"/>
        <w:rPr>
          <w:rFonts w:ascii="Times New Roman" w:hAnsi="Times New Roman" w:cs="Times New Roman"/>
          <w:sz w:val="20"/>
          <w:szCs w:val="20"/>
        </w:rPr>
      </w:pPr>
      <w:r w:rsidRPr="00882653">
        <w:rPr>
          <w:rStyle w:val="FootnoteReference"/>
          <w:rFonts w:ascii="Times New Roman" w:hAnsi="Times New Roman"/>
          <w:sz w:val="20"/>
        </w:rPr>
        <w:footnoteRef/>
      </w:r>
      <w:r>
        <w:t xml:space="preserve"> </w:t>
      </w:r>
      <w:r w:rsidRPr="006D6885">
        <w:rPr>
          <w:rFonts w:ascii="Times New Roman" w:hAnsi="Times New Roman" w:cs="Times New Roman"/>
          <w:sz w:val="20"/>
          <w:szCs w:val="20"/>
        </w:rPr>
        <w:t xml:space="preserve">As a number of scholars have noted, the “incorporation mechanism” introduced into the Uniform Commercial Code by Karl Llewellyn has not functioned as he intended.  See e.g., James Whitman, </w:t>
      </w:r>
      <w:r w:rsidRPr="006D6885">
        <w:rPr>
          <w:rFonts w:ascii="Times New Roman" w:hAnsi="Times New Roman" w:cs="Times New Roman"/>
          <w:i/>
          <w:sz w:val="20"/>
          <w:szCs w:val="20"/>
        </w:rPr>
        <w:t>Commercial Law and the American Volk: A Note on Llewellyn’s German Sources for the Uniform Commercial Code</w:t>
      </w:r>
      <w:r w:rsidRPr="006D6885">
        <w:rPr>
          <w:rFonts w:ascii="Times New Roman" w:hAnsi="Times New Roman" w:cs="Times New Roman"/>
          <w:sz w:val="20"/>
          <w:szCs w:val="20"/>
        </w:rPr>
        <w:t xml:space="preserve">, 97 Yale L.J. 156, 174–75 (1988). Llewellyn believed that customary practice had only an epistemological and not also a normative relevance. His reservations about generalist courts were similar to those advanced here, and he was thus unwilling to rely solely on judicial intuitions to undertake what was essentially an empirical inquiry.  As a consequence, he proposed a mechanism by which these local norms could be identified by courts:  the merchant tribunal was a panel of experts that would find specific facts—such as whether the behavior of a contracting party was “commercially reasonable” in the context of the particular dispute.  But the abandonment of the merchant tribunal in the face of opposition by members of the bar doomed this effort from the start. </w:t>
      </w:r>
      <w:proofErr w:type="spellStart"/>
      <w:r w:rsidRPr="006D6885">
        <w:rPr>
          <w:rFonts w:ascii="Times New Roman" w:hAnsi="Times New Roman" w:cs="Times New Roman"/>
          <w:sz w:val="20"/>
          <w:szCs w:val="20"/>
        </w:rPr>
        <w:t>Imad</w:t>
      </w:r>
      <w:proofErr w:type="spellEnd"/>
      <w:r w:rsidRPr="006D6885">
        <w:rPr>
          <w:rFonts w:ascii="Times New Roman" w:hAnsi="Times New Roman" w:cs="Times New Roman"/>
          <w:sz w:val="20"/>
          <w:szCs w:val="20"/>
        </w:rPr>
        <w:t xml:space="preserve"> D. </w:t>
      </w:r>
      <w:proofErr w:type="spellStart"/>
      <w:r w:rsidRPr="006D6885">
        <w:rPr>
          <w:rFonts w:ascii="Times New Roman" w:hAnsi="Times New Roman" w:cs="Times New Roman"/>
          <w:sz w:val="20"/>
          <w:szCs w:val="20"/>
        </w:rPr>
        <w:t>Abyad</w:t>
      </w:r>
      <w:proofErr w:type="spellEnd"/>
      <w:r w:rsidRPr="006D6885">
        <w:rPr>
          <w:rFonts w:ascii="Times New Roman" w:hAnsi="Times New Roman" w:cs="Times New Roman"/>
          <w:sz w:val="20"/>
          <w:szCs w:val="20"/>
        </w:rPr>
        <w:t xml:space="preserve">, Note, </w:t>
      </w:r>
      <w:r w:rsidRPr="006D6885">
        <w:rPr>
          <w:rFonts w:ascii="Times New Roman" w:hAnsi="Times New Roman" w:cs="Times New Roman"/>
          <w:i/>
          <w:sz w:val="20"/>
          <w:szCs w:val="20"/>
        </w:rPr>
        <w:t>Commercial Reasonableness in Karl Llewellyn’s Uniform Commercial Code Jurisprudence</w:t>
      </w:r>
      <w:r w:rsidRPr="006D6885">
        <w:rPr>
          <w:rFonts w:ascii="Times New Roman" w:hAnsi="Times New Roman" w:cs="Times New Roman"/>
          <w:sz w:val="20"/>
          <w:szCs w:val="20"/>
        </w:rPr>
        <w:t>, 83 Va. L. Rev. 429, 452 (1997) (“The courts in effect are abrogating the responsibility that the Code drafters assigned to them by treating commercial reasonableness as garden-variety reasonableness, left for the lay juries to decide on a case-by-case basis with no systematic structure resulting from their decisions.”); Bernstein, Trade Usage in the Courts, supra note--- at 20–21 (empirical evidence shows courts typically rely on unreliable evidence to establish usages).</w:t>
      </w:r>
    </w:p>
    <w:p w14:paraId="260E3732" w14:textId="59CA5E25" w:rsidR="00A1412B" w:rsidRPr="006D6885" w:rsidRDefault="00A1412B" w:rsidP="006D6885">
      <w:pPr>
        <w:rPr>
          <w:rFonts w:ascii="Times New Roman" w:hAnsi="Times New Roman" w:cs="Times New Roman"/>
          <w:sz w:val="20"/>
          <w:szCs w:val="20"/>
        </w:rPr>
      </w:pPr>
    </w:p>
  </w:footnote>
  <w:footnote w:id="30">
    <w:p w14:paraId="21C8B469" w14:textId="512F17D5" w:rsidR="00A1412B" w:rsidRPr="006D6885" w:rsidRDefault="00A1412B" w:rsidP="006D6885">
      <w:pPr>
        <w:rPr>
          <w:rFonts w:ascii="Times New Roman" w:hAnsi="Times New Roman" w:cs="Times New Roman"/>
          <w:smallCaps/>
          <w:sz w:val="20"/>
          <w:szCs w:val="20"/>
        </w:rPr>
      </w:pPr>
      <w:r w:rsidRPr="006D688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6885">
        <w:rPr>
          <w:rStyle w:val="FootnoteReference"/>
          <w:rFonts w:ascii="Times New Roman" w:hAnsi="Times New Roman"/>
          <w:sz w:val="20"/>
          <w:szCs w:val="20"/>
        </w:rPr>
        <w:footnoteRef/>
      </w:r>
      <w:r w:rsidRPr="006D6885">
        <w:rPr>
          <w:rFonts w:ascii="Times New Roman" w:hAnsi="Times New Roman" w:cs="Times New Roman"/>
          <w:sz w:val="20"/>
          <w:szCs w:val="20"/>
        </w:rPr>
        <w:t xml:space="preserve"> </w:t>
      </w:r>
      <w:r w:rsidRPr="006D6885">
        <w:rPr>
          <w:rFonts w:ascii="Times New Roman" w:hAnsi="Times New Roman" w:cs="Times New Roman"/>
          <w:i/>
          <w:sz w:val="20"/>
          <w:szCs w:val="20"/>
        </w:rPr>
        <w:t>See</w:t>
      </w:r>
      <w:r w:rsidRPr="006D6885">
        <w:rPr>
          <w:rFonts w:ascii="Times New Roman" w:hAnsi="Times New Roman" w:cs="Times New Roman"/>
          <w:sz w:val="20"/>
          <w:szCs w:val="20"/>
        </w:rPr>
        <w:t xml:space="preserve"> Richard </w:t>
      </w:r>
      <w:proofErr w:type="spellStart"/>
      <w:r w:rsidRPr="006D6885">
        <w:rPr>
          <w:rFonts w:ascii="Times New Roman" w:hAnsi="Times New Roman" w:cs="Times New Roman"/>
          <w:sz w:val="20"/>
          <w:szCs w:val="20"/>
        </w:rPr>
        <w:t>Craswell</w:t>
      </w:r>
      <w:proofErr w:type="spellEnd"/>
      <w:r w:rsidRPr="006D6885">
        <w:rPr>
          <w:rFonts w:ascii="Times New Roman" w:hAnsi="Times New Roman" w:cs="Times New Roman"/>
          <w:sz w:val="20"/>
          <w:szCs w:val="20"/>
        </w:rPr>
        <w:t xml:space="preserve">, </w:t>
      </w:r>
      <w:r w:rsidRPr="006D6885">
        <w:rPr>
          <w:rFonts w:ascii="Times New Roman" w:hAnsi="Times New Roman" w:cs="Times New Roman"/>
          <w:i/>
          <w:sz w:val="20"/>
          <w:szCs w:val="20"/>
        </w:rPr>
        <w:t xml:space="preserve">Do Trade Customs Exist? </w:t>
      </w:r>
      <w:proofErr w:type="gramStart"/>
      <w:r w:rsidRPr="006D6885">
        <w:rPr>
          <w:rFonts w:ascii="Times New Roman" w:hAnsi="Times New Roman" w:cs="Times New Roman"/>
          <w:i/>
          <w:sz w:val="20"/>
          <w:szCs w:val="20"/>
        </w:rPr>
        <w:t>in</w:t>
      </w:r>
      <w:proofErr w:type="gramEnd"/>
      <w:r w:rsidRPr="006D6885">
        <w:rPr>
          <w:rFonts w:ascii="Times New Roman" w:hAnsi="Times New Roman" w:cs="Times New Roman"/>
          <w:sz w:val="20"/>
          <w:szCs w:val="20"/>
        </w:rPr>
        <w:t xml:space="preserve"> </w:t>
      </w:r>
      <w:r w:rsidRPr="006D6885">
        <w:rPr>
          <w:rFonts w:ascii="Times New Roman" w:hAnsi="Times New Roman" w:cs="Times New Roman"/>
          <w:smallCaps/>
          <w:sz w:val="20"/>
          <w:szCs w:val="20"/>
        </w:rPr>
        <w:t>The Jurisprudential Foundations of Corporate and Commercial Law 118–48 (</w:t>
      </w:r>
      <w:r w:rsidRPr="006D6885">
        <w:rPr>
          <w:rFonts w:ascii="Times New Roman" w:hAnsi="Times New Roman" w:cs="Times New Roman"/>
          <w:sz w:val="20"/>
          <w:szCs w:val="20"/>
        </w:rPr>
        <w:t>Jody S. Kraus &amp; Steven D. Walt eds.,</w:t>
      </w:r>
      <w:r w:rsidRPr="006D6885">
        <w:rPr>
          <w:rFonts w:ascii="Times New Roman" w:hAnsi="Times New Roman" w:cs="Times New Roman"/>
          <w:smallCaps/>
          <w:sz w:val="20"/>
          <w:szCs w:val="20"/>
        </w:rPr>
        <w:t xml:space="preserve"> 2000).</w:t>
      </w:r>
    </w:p>
    <w:p w14:paraId="4D0A58D7" w14:textId="77777777" w:rsidR="00A1412B" w:rsidRPr="006D6885" w:rsidRDefault="00A1412B" w:rsidP="006D6885">
      <w:pPr>
        <w:rPr>
          <w:rFonts w:ascii="Times New Roman" w:hAnsi="Times New Roman" w:cs="Times New Roman"/>
          <w:sz w:val="20"/>
          <w:szCs w:val="20"/>
        </w:rPr>
      </w:pPr>
    </w:p>
  </w:footnote>
  <w:footnote w:id="31">
    <w:p w14:paraId="3C4E23ED" w14:textId="37529A02" w:rsidR="00A1412B" w:rsidRPr="006D6885" w:rsidRDefault="00A1412B" w:rsidP="006D6885">
      <w:pPr>
        <w:rPr>
          <w:rFonts w:ascii="Times New Roman" w:hAnsi="Times New Roman" w:cs="Times New Roman"/>
          <w:sz w:val="20"/>
          <w:szCs w:val="20"/>
        </w:rPr>
      </w:pPr>
      <w:r w:rsidRPr="006D6885">
        <w:rPr>
          <w:rFonts w:ascii="Times New Roman" w:hAnsi="Times New Roman" w:cs="Times New Roman"/>
          <w:sz w:val="20"/>
          <w:szCs w:val="20"/>
        </w:rPr>
        <w:t xml:space="preserve">           </w:t>
      </w:r>
      <w:r w:rsidRPr="006D6885">
        <w:rPr>
          <w:rStyle w:val="FootnoteReference"/>
          <w:rFonts w:ascii="Times New Roman" w:hAnsi="Times New Roman"/>
          <w:sz w:val="20"/>
          <w:szCs w:val="20"/>
        </w:rPr>
        <w:footnoteRef/>
      </w:r>
      <w:r w:rsidRPr="006D6885">
        <w:rPr>
          <w:rFonts w:ascii="Times New Roman" w:hAnsi="Times New Roman" w:cs="Times New Roman"/>
          <w:sz w:val="20"/>
          <w:szCs w:val="20"/>
        </w:rPr>
        <w:t xml:space="preserve"> Goetz &amp; Scott, </w:t>
      </w:r>
      <w:r w:rsidRPr="006D6885">
        <w:rPr>
          <w:rFonts w:ascii="Times New Roman" w:hAnsi="Times New Roman" w:cs="Times New Roman"/>
          <w:i/>
          <w:sz w:val="20"/>
          <w:szCs w:val="20"/>
        </w:rPr>
        <w:t xml:space="preserve">The Limits of Expanded Choice, </w:t>
      </w:r>
      <w:r w:rsidRPr="006D6885">
        <w:rPr>
          <w:rFonts w:ascii="Times New Roman" w:hAnsi="Times New Roman" w:cs="Times New Roman"/>
          <w:sz w:val="20"/>
          <w:szCs w:val="20"/>
        </w:rPr>
        <w:t>supra note --- at 271-2.</w:t>
      </w:r>
    </w:p>
  </w:footnote>
  <w:footnote w:id="32">
    <w:p w14:paraId="2200BD18" w14:textId="0886220A" w:rsidR="00A1412B" w:rsidRPr="00CD6CA3" w:rsidRDefault="00A1412B" w:rsidP="00CD6CA3">
      <w:pPr>
        <w:pStyle w:val="FootNote"/>
        <w:spacing w:before="240"/>
        <w:rPr>
          <w:rFonts w:ascii="Times New Roman" w:hAnsi="Times New Roman"/>
          <w:sz w:val="20"/>
        </w:rPr>
      </w:pPr>
      <w:r>
        <w:tab/>
      </w:r>
      <w:r w:rsidRPr="00CD6CA3">
        <w:rPr>
          <w:rFonts w:ascii="Times New Roman" w:hAnsi="Times New Roman"/>
          <w:sz w:val="20"/>
        </w:rPr>
        <w:tab/>
      </w:r>
      <w:r>
        <w:rPr>
          <w:rFonts w:ascii="Times New Roman" w:hAnsi="Times New Roman"/>
          <w:sz w:val="20"/>
        </w:rPr>
        <w:t xml:space="preserve">  </w:t>
      </w:r>
      <w:r w:rsidRPr="00CD6CA3">
        <w:rPr>
          <w:rStyle w:val="FootnoteReference"/>
          <w:rFonts w:ascii="Times New Roman" w:hAnsi="Times New Roman"/>
          <w:sz w:val="20"/>
        </w:rPr>
        <w:footnoteRef/>
      </w:r>
      <w:r w:rsidRPr="00CD6CA3">
        <w:rPr>
          <w:rFonts w:ascii="Times New Roman" w:hAnsi="Times New Roman"/>
          <w:sz w:val="20"/>
        </w:rPr>
        <w:t xml:space="preserve"> The discussion in this Part draws on</w:t>
      </w:r>
      <w:r>
        <w:rPr>
          <w:rFonts w:ascii="Times New Roman" w:hAnsi="Times New Roman"/>
          <w:sz w:val="20"/>
        </w:rPr>
        <w:t xml:space="preserve"> </w:t>
      </w:r>
      <w:r w:rsidRPr="00CD6CA3">
        <w:rPr>
          <w:rFonts w:ascii="Times New Roman" w:hAnsi="Times New Roman"/>
          <w:sz w:val="20"/>
        </w:rPr>
        <w:t xml:space="preserve">Jody S. Kraus &amp; Robert E. Scott, </w:t>
      </w:r>
      <w:r w:rsidRPr="00CD6CA3">
        <w:rPr>
          <w:rFonts w:ascii="Times New Roman" w:hAnsi="Times New Roman"/>
          <w:i/>
          <w:iCs/>
          <w:sz w:val="20"/>
        </w:rPr>
        <w:t>Contract Design and the Structure of Contractual Intent</w:t>
      </w:r>
      <w:r w:rsidRPr="00CD6CA3">
        <w:rPr>
          <w:rFonts w:ascii="Times New Roman" w:hAnsi="Times New Roman"/>
          <w:iCs/>
          <w:sz w:val="20"/>
        </w:rPr>
        <w:t>,</w:t>
      </w:r>
      <w:r w:rsidRPr="00CD6CA3">
        <w:rPr>
          <w:rFonts w:ascii="Times New Roman" w:hAnsi="Times New Roman"/>
          <w:i/>
          <w:iCs/>
          <w:sz w:val="20"/>
        </w:rPr>
        <w:t xml:space="preserve"> </w:t>
      </w:r>
      <w:r w:rsidRPr="00CD6CA3">
        <w:rPr>
          <w:rFonts w:ascii="Times New Roman" w:hAnsi="Times New Roman"/>
          <w:iCs/>
          <w:sz w:val="20"/>
        </w:rPr>
        <w:t xml:space="preserve">84 </w:t>
      </w:r>
      <w:r w:rsidRPr="00CD6CA3">
        <w:rPr>
          <w:rFonts w:ascii="Times New Roman" w:hAnsi="Times New Roman"/>
          <w:iCs/>
          <w:smallCaps/>
          <w:sz w:val="20"/>
        </w:rPr>
        <w:t>N.Y.U. L. Rev.</w:t>
      </w:r>
      <w:r w:rsidRPr="00CD6CA3">
        <w:rPr>
          <w:rFonts w:ascii="Times New Roman" w:hAnsi="Times New Roman"/>
          <w:iCs/>
          <w:sz w:val="20"/>
        </w:rPr>
        <w:t xml:space="preserve"> 1023, 1035–45</w:t>
      </w:r>
      <w:r>
        <w:rPr>
          <w:rFonts w:ascii="Times New Roman" w:hAnsi="Times New Roman"/>
          <w:iCs/>
          <w:sz w:val="20"/>
        </w:rPr>
        <w:t xml:space="preserve"> (2009.</w:t>
      </w:r>
    </w:p>
    <w:p w14:paraId="00C0B594" w14:textId="0A8A480C" w:rsidR="00A1412B" w:rsidRPr="00CD6CA3" w:rsidRDefault="00A1412B">
      <w:pPr>
        <w:pStyle w:val="FootnoteText"/>
        <w:rPr>
          <w:sz w:val="20"/>
          <w:szCs w:val="20"/>
        </w:rPr>
      </w:pPr>
    </w:p>
  </w:footnote>
  <w:footnote w:id="33">
    <w:p w14:paraId="525E245C" w14:textId="507545BD" w:rsidR="00A1412B" w:rsidRPr="00CD6CA3" w:rsidRDefault="00A1412B" w:rsidP="00CD6CA3">
      <w:pPr>
        <w:pStyle w:val="FootNote"/>
        <w:rPr>
          <w:rFonts w:ascii="Times New Roman" w:hAnsi="Times New Roman"/>
          <w:sz w:val="20"/>
        </w:rPr>
      </w:pPr>
      <w:r>
        <w:tab/>
      </w:r>
      <w:r>
        <w:tab/>
        <w:t xml:space="preserve">   </w:t>
      </w:r>
      <w:r w:rsidRPr="00CD6CA3">
        <w:rPr>
          <w:rStyle w:val="FootnoteReference"/>
          <w:rFonts w:ascii="Times New Roman" w:hAnsi="Times New Roman"/>
          <w:sz w:val="20"/>
        </w:rPr>
        <w:footnoteRef/>
      </w:r>
      <w:r w:rsidRPr="00CD6CA3">
        <w:rPr>
          <w:rFonts w:ascii="Times New Roman" w:hAnsi="Times New Roman"/>
          <w:sz w:val="20"/>
        </w:rPr>
        <w:t xml:space="preserve"> </w:t>
      </w:r>
      <w:r w:rsidRPr="00CD6CA3">
        <w:rPr>
          <w:rFonts w:ascii="Times New Roman" w:hAnsi="Times New Roman"/>
          <w:smallCaps/>
          <w:sz w:val="20"/>
        </w:rPr>
        <w:t>J. H. Baker, An Introduction to English Legal History 12–14 (</w:t>
      </w:r>
      <w:r w:rsidRPr="00CD6CA3">
        <w:rPr>
          <w:rFonts w:ascii="Times New Roman" w:hAnsi="Times New Roman"/>
          <w:sz w:val="20"/>
        </w:rPr>
        <w:t>4th ed.</w:t>
      </w:r>
      <w:r w:rsidRPr="00CD6CA3">
        <w:rPr>
          <w:rFonts w:ascii="Times New Roman" w:hAnsi="Times New Roman"/>
          <w:smallCaps/>
          <w:sz w:val="20"/>
        </w:rPr>
        <w:t xml:space="preserve"> 2002)</w:t>
      </w:r>
      <w:r w:rsidRPr="00CD6CA3">
        <w:rPr>
          <w:rFonts w:ascii="Times New Roman" w:hAnsi="Times New Roman"/>
          <w:sz w:val="20"/>
        </w:rPr>
        <w:t>.</w:t>
      </w:r>
    </w:p>
    <w:p w14:paraId="1B2A2C9E" w14:textId="294EE2C3" w:rsidR="00A1412B" w:rsidRPr="00CD6CA3" w:rsidRDefault="00A1412B">
      <w:pPr>
        <w:pStyle w:val="FootnoteText"/>
        <w:rPr>
          <w:sz w:val="20"/>
          <w:szCs w:val="20"/>
        </w:rPr>
      </w:pPr>
    </w:p>
  </w:footnote>
  <w:footnote w:id="34">
    <w:p w14:paraId="37E67FDD" w14:textId="2FBB59A5" w:rsidR="00A1412B" w:rsidRPr="00AD3A2A" w:rsidRDefault="00A1412B" w:rsidP="00AD3A2A">
      <w:pPr>
        <w:pStyle w:val="FootnoteText"/>
        <w:spacing w:line="240" w:lineRule="auto"/>
        <w:rPr>
          <w:sz w:val="20"/>
          <w:szCs w:val="20"/>
        </w:rPr>
      </w:pPr>
      <w:r>
        <w:rPr>
          <w:rStyle w:val="FootnoteReference"/>
        </w:rPr>
        <w:footnoteRef/>
      </w:r>
      <w:r w:rsidRPr="00AD3A2A">
        <w:rPr>
          <w:sz w:val="20"/>
          <w:szCs w:val="20"/>
        </w:rPr>
        <w:t xml:space="preserve"> If parties had complaints that did not fit within the confines of existing forms of action, they could petition the King</w:t>
      </w:r>
      <w:r>
        <w:rPr>
          <w:sz w:val="20"/>
          <w:szCs w:val="20"/>
        </w:rPr>
        <w:t>.</w:t>
      </w:r>
      <w:r w:rsidRPr="00AD3A2A">
        <w:rPr>
          <w:sz w:val="20"/>
          <w:szCs w:val="20"/>
        </w:rPr>
        <w:t xml:space="preserve">  Even though the King’s Bench and Common Pleas courts were created by statute, the King retained authority to hear cases in which he believed the common law was “deficient.” In exceptional cases, the King took action by granting a remedy as of grace.  As these “exceptional” private suits became more common, they were referred to the King’s council.  Later, parties addressed their bills directly to the Chancellor, who, under the authority of the council, took responsibility for assigning them to appr</w:t>
      </w:r>
      <w:r>
        <w:rPr>
          <w:sz w:val="20"/>
          <w:szCs w:val="20"/>
        </w:rPr>
        <w:t xml:space="preserve">opriate courts for resolution.  </w:t>
      </w:r>
      <w:proofErr w:type="gramStart"/>
      <w:r w:rsidRPr="00AD3A2A">
        <w:rPr>
          <w:sz w:val="20"/>
          <w:szCs w:val="20"/>
        </w:rPr>
        <w:t>Id. at</w:t>
      </w:r>
      <w:r w:rsidRPr="00AD3A2A">
        <w:rPr>
          <w:smallCaps/>
          <w:sz w:val="20"/>
          <w:szCs w:val="20"/>
        </w:rPr>
        <w:t xml:space="preserve"> 117.</w:t>
      </w:r>
      <w:proofErr w:type="gramEnd"/>
    </w:p>
  </w:footnote>
  <w:footnote w:id="35">
    <w:p w14:paraId="6040CB6C" w14:textId="34FC1698" w:rsidR="00A1412B" w:rsidRPr="006827E1" w:rsidRDefault="00A1412B" w:rsidP="006827E1">
      <w:pPr>
        <w:rPr>
          <w:rFonts w:ascii="Times New Roman" w:hAnsi="Times New Roman" w:cs="Times New Roman"/>
          <w:sz w:val="20"/>
          <w:szCs w:val="20"/>
        </w:rPr>
      </w:pPr>
      <w:r w:rsidRPr="00AD3A2A">
        <w:t xml:space="preserve">    </w:t>
      </w:r>
      <w:r w:rsidRPr="00AD3A2A">
        <w:tab/>
      </w:r>
      <w:r w:rsidRPr="006827E1">
        <w:rPr>
          <w:rStyle w:val="FootnoteReference"/>
          <w:rFonts w:ascii="Times New Roman" w:hAnsi="Times New Roman"/>
          <w:sz w:val="20"/>
          <w:szCs w:val="20"/>
        </w:rPr>
        <w:footnoteRef/>
      </w:r>
      <w:r w:rsidRPr="006827E1">
        <w:rPr>
          <w:rFonts w:ascii="Times New Roman" w:hAnsi="Times New Roman" w:cs="Times New Roman"/>
          <w:sz w:val="20"/>
          <w:szCs w:val="20"/>
        </w:rPr>
        <w:t xml:space="preserve"> </w:t>
      </w:r>
      <w:r w:rsidRPr="006827E1">
        <w:rPr>
          <w:rFonts w:ascii="Times New Roman" w:hAnsi="Times New Roman" w:cs="Times New Roman"/>
          <w:smallCaps/>
          <w:sz w:val="20"/>
          <w:szCs w:val="20"/>
        </w:rPr>
        <w:t>Baker</w:t>
      </w:r>
      <w:r w:rsidRPr="006827E1">
        <w:rPr>
          <w:rFonts w:ascii="Times New Roman" w:hAnsi="Times New Roman" w:cs="Times New Roman"/>
          <w:sz w:val="20"/>
          <w:szCs w:val="20"/>
        </w:rPr>
        <w:t xml:space="preserve">, </w:t>
      </w:r>
      <w:r w:rsidRPr="006827E1">
        <w:rPr>
          <w:rFonts w:ascii="Times New Roman" w:hAnsi="Times New Roman" w:cs="Times New Roman"/>
          <w:i/>
          <w:sz w:val="20"/>
          <w:szCs w:val="20"/>
        </w:rPr>
        <w:t>supra</w:t>
      </w:r>
      <w:r w:rsidRPr="006827E1">
        <w:rPr>
          <w:rFonts w:ascii="Times New Roman" w:hAnsi="Times New Roman" w:cs="Times New Roman"/>
          <w:sz w:val="20"/>
          <w:szCs w:val="20"/>
        </w:rPr>
        <w:t xml:space="preserve"> note -- at 104.  In its earliest incarnation, the procedure in Chancery was the antithesis of the procedure in common law courts: no writ was necessary, multiple issues could be joined, evidence was taken free of formal rules, decisions were made by chancellor rather than a jury, the court was always open, and trials could take place anywhere (including the Chancellor’s home).  </w:t>
      </w:r>
      <w:proofErr w:type="gramStart"/>
      <w:r w:rsidRPr="006827E1">
        <w:rPr>
          <w:rFonts w:ascii="Times New Roman" w:hAnsi="Times New Roman" w:cs="Times New Roman"/>
          <w:i/>
          <w:sz w:val="20"/>
          <w:szCs w:val="20"/>
        </w:rPr>
        <w:t>Id.</w:t>
      </w:r>
      <w:r w:rsidRPr="006827E1">
        <w:rPr>
          <w:rFonts w:ascii="Times New Roman" w:hAnsi="Times New Roman" w:cs="Times New Roman"/>
          <w:sz w:val="20"/>
          <w:szCs w:val="20"/>
        </w:rPr>
        <w:t xml:space="preserve"> at 103–04.</w:t>
      </w:r>
      <w:proofErr w:type="gramEnd"/>
    </w:p>
    <w:p w14:paraId="4C6B7FBE" w14:textId="377E285E" w:rsidR="00A1412B" w:rsidRPr="006827E1" w:rsidRDefault="00A1412B" w:rsidP="006827E1">
      <w:pPr>
        <w:rPr>
          <w:rFonts w:ascii="Times New Roman" w:hAnsi="Times New Roman" w:cs="Times New Roman"/>
          <w:sz w:val="20"/>
          <w:szCs w:val="20"/>
        </w:rPr>
      </w:pPr>
    </w:p>
  </w:footnote>
  <w:footnote w:id="36">
    <w:p w14:paraId="0B5A3008" w14:textId="709408C5" w:rsidR="00A1412B" w:rsidRPr="006827E1" w:rsidRDefault="00A1412B" w:rsidP="006827E1">
      <w:pPr>
        <w:rPr>
          <w:rFonts w:ascii="Times New Roman" w:hAnsi="Times New Roman" w:cs="Times New Roman"/>
          <w:sz w:val="20"/>
          <w:szCs w:val="20"/>
        </w:rPr>
      </w:pPr>
      <w:r>
        <w:rPr>
          <w:rFonts w:ascii="Times New Roman" w:hAnsi="Times New Roman" w:cs="Times New Roman"/>
          <w:sz w:val="20"/>
          <w:szCs w:val="20"/>
        </w:rPr>
        <w:tab/>
      </w:r>
      <w:r w:rsidRPr="006827E1">
        <w:rPr>
          <w:rFonts w:ascii="Times New Roman" w:hAnsi="Times New Roman" w:cs="Times New Roman"/>
          <w:sz w:val="20"/>
          <w:szCs w:val="20"/>
        </w:rPr>
        <w:t xml:space="preserve"> </w:t>
      </w:r>
      <w:r w:rsidRPr="006827E1">
        <w:rPr>
          <w:rStyle w:val="FootnoteReference"/>
          <w:rFonts w:ascii="Times New Roman" w:hAnsi="Times New Roman"/>
          <w:sz w:val="20"/>
          <w:szCs w:val="20"/>
        </w:rPr>
        <w:footnoteRef/>
      </w:r>
      <w:r w:rsidRPr="006827E1">
        <w:rPr>
          <w:rFonts w:ascii="Times New Roman" w:hAnsi="Times New Roman" w:cs="Times New Roman"/>
          <w:sz w:val="20"/>
          <w:szCs w:val="20"/>
        </w:rPr>
        <w:t xml:space="preserve"> “In Chancery each case turned on its own facts, and the chancellor did not interfere with the general rules observed in courts of law.  The decrees operated </w:t>
      </w:r>
      <w:r w:rsidRPr="006827E1">
        <w:rPr>
          <w:rFonts w:ascii="Times New Roman" w:hAnsi="Times New Roman" w:cs="Times New Roman"/>
          <w:i/>
          <w:iCs/>
          <w:sz w:val="20"/>
          <w:szCs w:val="20"/>
        </w:rPr>
        <w:t xml:space="preserve">in </w:t>
      </w:r>
      <w:proofErr w:type="spellStart"/>
      <w:r w:rsidRPr="006827E1">
        <w:rPr>
          <w:rFonts w:ascii="Times New Roman" w:hAnsi="Times New Roman" w:cs="Times New Roman"/>
          <w:i/>
          <w:iCs/>
          <w:sz w:val="20"/>
          <w:szCs w:val="20"/>
        </w:rPr>
        <w:t>personam</w:t>
      </w:r>
      <w:proofErr w:type="spellEnd"/>
      <w:r w:rsidRPr="006827E1">
        <w:rPr>
          <w:rFonts w:ascii="Times New Roman" w:hAnsi="Times New Roman" w:cs="Times New Roman"/>
          <w:sz w:val="20"/>
          <w:szCs w:val="20"/>
        </w:rPr>
        <w:t xml:space="preserve">; they were binding on the parties in the cause, but were not judgments of record binding anyone else.”  </w:t>
      </w:r>
      <w:proofErr w:type="gramStart"/>
      <w:r w:rsidRPr="006827E1">
        <w:rPr>
          <w:rFonts w:ascii="Times New Roman" w:hAnsi="Times New Roman" w:cs="Times New Roman"/>
          <w:i/>
          <w:sz w:val="20"/>
          <w:szCs w:val="20"/>
        </w:rPr>
        <w:t xml:space="preserve">Id. </w:t>
      </w:r>
      <w:r w:rsidRPr="006827E1">
        <w:rPr>
          <w:rFonts w:ascii="Times New Roman" w:hAnsi="Times New Roman" w:cs="Times New Roman"/>
          <w:sz w:val="20"/>
          <w:szCs w:val="20"/>
        </w:rPr>
        <w:t>at 104.</w:t>
      </w:r>
      <w:proofErr w:type="gramEnd"/>
      <w:r w:rsidRPr="006827E1">
        <w:rPr>
          <w:rFonts w:ascii="Times New Roman" w:hAnsi="Times New Roman" w:cs="Times New Roman"/>
          <w:sz w:val="20"/>
          <w:szCs w:val="20"/>
        </w:rPr>
        <w:t xml:space="preserve">   “So long as chancellors were seen as providing ad hoc remedies in individual cases, there was no question of their jurisdiction bringing about legal change or making law.”  </w:t>
      </w:r>
      <w:proofErr w:type="gramStart"/>
      <w:r w:rsidRPr="006827E1">
        <w:rPr>
          <w:rFonts w:ascii="Times New Roman" w:hAnsi="Times New Roman" w:cs="Times New Roman"/>
          <w:i/>
          <w:sz w:val="20"/>
          <w:szCs w:val="20"/>
        </w:rPr>
        <w:t>Id.</w:t>
      </w:r>
      <w:r w:rsidRPr="006827E1">
        <w:rPr>
          <w:rFonts w:ascii="Times New Roman" w:hAnsi="Times New Roman" w:cs="Times New Roman"/>
          <w:sz w:val="20"/>
          <w:szCs w:val="20"/>
        </w:rPr>
        <w:t xml:space="preserve"> at 202.</w:t>
      </w:r>
      <w:proofErr w:type="gramEnd"/>
    </w:p>
    <w:p w14:paraId="67D82547" w14:textId="2C322A1D" w:rsidR="00A1412B" w:rsidRPr="006827E1" w:rsidRDefault="00A1412B" w:rsidP="006827E1">
      <w:pPr>
        <w:rPr>
          <w:rFonts w:ascii="Times New Roman" w:hAnsi="Times New Roman" w:cs="Times New Roman"/>
          <w:sz w:val="20"/>
          <w:szCs w:val="20"/>
        </w:rPr>
      </w:pPr>
    </w:p>
  </w:footnote>
  <w:footnote w:id="37">
    <w:p w14:paraId="113398BD" w14:textId="7A216D17" w:rsidR="00A1412B" w:rsidRPr="006827E1" w:rsidRDefault="00A1412B" w:rsidP="006827E1">
      <w:pPr>
        <w:rPr>
          <w:rFonts w:ascii="Times New Roman" w:hAnsi="Times New Roman" w:cs="Times New Roman"/>
          <w:sz w:val="20"/>
          <w:szCs w:val="20"/>
        </w:rPr>
      </w:pPr>
      <w:r w:rsidRPr="006827E1">
        <w:rPr>
          <w:rFonts w:ascii="Times New Roman" w:hAnsi="Times New Roman" w:cs="Times New Roman"/>
          <w:sz w:val="20"/>
          <w:szCs w:val="20"/>
        </w:rPr>
        <w:tab/>
      </w:r>
      <w:r w:rsidRPr="006827E1">
        <w:rPr>
          <w:rStyle w:val="FootnoteReference"/>
          <w:rFonts w:ascii="Times New Roman" w:hAnsi="Times New Roman"/>
          <w:sz w:val="20"/>
          <w:szCs w:val="20"/>
        </w:rPr>
        <w:footnoteRef/>
      </w:r>
      <w:r w:rsidRPr="006827E1">
        <w:rPr>
          <w:rFonts w:ascii="Times New Roman" w:hAnsi="Times New Roman" w:cs="Times New Roman"/>
          <w:sz w:val="20"/>
          <w:szCs w:val="20"/>
        </w:rPr>
        <w:t xml:space="preserve"> </w:t>
      </w:r>
      <w:r w:rsidRPr="006827E1">
        <w:rPr>
          <w:rFonts w:ascii="Times New Roman" w:eastAsia="SimSun" w:hAnsi="Times New Roman" w:cs="Times New Roman"/>
          <w:sz w:val="20"/>
          <w:szCs w:val="20"/>
        </w:rPr>
        <w:t xml:space="preserve">Ironically, by the nineteenth century the Chancery had developed a set of procedures more arcane and burdensome than the common law procedures it originally sought to mitigate.  The resulting administrative delay, combined with corruption born of the Chancery’s practice of paying clerks on a fee basis rather than salary, ultimately led to the Chancery’s demise.  </w:t>
      </w:r>
      <w:proofErr w:type="gramStart"/>
      <w:r w:rsidRPr="006827E1">
        <w:rPr>
          <w:rFonts w:ascii="Times New Roman" w:eastAsia="SimSun" w:hAnsi="Times New Roman" w:cs="Times New Roman"/>
          <w:i/>
          <w:iCs/>
          <w:sz w:val="20"/>
          <w:szCs w:val="20"/>
        </w:rPr>
        <w:t xml:space="preserve">Id. </w:t>
      </w:r>
      <w:r w:rsidRPr="006827E1">
        <w:rPr>
          <w:rFonts w:ascii="Times New Roman" w:eastAsia="SimSun" w:hAnsi="Times New Roman" w:cs="Times New Roman"/>
          <w:sz w:val="20"/>
          <w:szCs w:val="20"/>
        </w:rPr>
        <w:t>at 111–12.</w:t>
      </w:r>
      <w:proofErr w:type="gramEnd"/>
      <w:r w:rsidRPr="006827E1">
        <w:rPr>
          <w:rFonts w:ascii="Times New Roman" w:eastAsia="SimSun" w:hAnsi="Times New Roman" w:cs="Times New Roman"/>
          <w:sz w:val="20"/>
          <w:szCs w:val="20"/>
        </w:rPr>
        <w:t xml:space="preserve">  Soon thereafter law and equity were merged.  </w:t>
      </w:r>
      <w:proofErr w:type="gramStart"/>
      <w:r w:rsidRPr="006827E1">
        <w:rPr>
          <w:rFonts w:ascii="Times New Roman" w:eastAsia="SimSun" w:hAnsi="Times New Roman" w:cs="Times New Roman"/>
          <w:i/>
          <w:iCs/>
          <w:sz w:val="20"/>
          <w:szCs w:val="20"/>
        </w:rPr>
        <w:t xml:space="preserve">Id. </w:t>
      </w:r>
      <w:r w:rsidRPr="006827E1">
        <w:rPr>
          <w:rFonts w:ascii="Times New Roman" w:eastAsia="SimSun" w:hAnsi="Times New Roman" w:cs="Times New Roman"/>
          <w:sz w:val="20"/>
          <w:szCs w:val="20"/>
        </w:rPr>
        <w:t>at 114.</w:t>
      </w:r>
      <w:proofErr w:type="gramEnd"/>
    </w:p>
    <w:p w14:paraId="716714F9" w14:textId="035370E8" w:rsidR="00A1412B" w:rsidRPr="006827E1" w:rsidRDefault="00A1412B" w:rsidP="006827E1">
      <w:pPr>
        <w:rPr>
          <w:rFonts w:ascii="Times New Roman" w:hAnsi="Times New Roman" w:cs="Times New Roman"/>
          <w:sz w:val="20"/>
          <w:szCs w:val="20"/>
        </w:rPr>
      </w:pPr>
    </w:p>
  </w:footnote>
  <w:footnote w:id="38">
    <w:p w14:paraId="3BFD6B86" w14:textId="1E89F13A" w:rsidR="00A1412B" w:rsidRPr="00B962B8" w:rsidRDefault="00A1412B" w:rsidP="0051317B">
      <w:pPr>
        <w:pStyle w:val="FootnoteText"/>
        <w:spacing w:line="240" w:lineRule="auto"/>
        <w:rPr>
          <w:sz w:val="20"/>
          <w:szCs w:val="20"/>
        </w:rPr>
      </w:pPr>
      <w:r w:rsidRPr="00BF21C9">
        <w:rPr>
          <w:rStyle w:val="FootnoteReference"/>
          <w:sz w:val="20"/>
          <w:szCs w:val="20"/>
        </w:rPr>
        <w:footnoteRef/>
      </w:r>
      <w:r>
        <w:t xml:space="preserve"> </w:t>
      </w:r>
      <w:r w:rsidRPr="00D578B0">
        <w:rPr>
          <w:sz w:val="20"/>
          <w:szCs w:val="20"/>
        </w:rPr>
        <w:t>See</w:t>
      </w:r>
      <w:r w:rsidRPr="00D578B0">
        <w:rPr>
          <w:smallCaps/>
          <w:sz w:val="20"/>
          <w:szCs w:val="20"/>
        </w:rPr>
        <w:t xml:space="preserve"> </w:t>
      </w:r>
      <w:proofErr w:type="spellStart"/>
      <w:r w:rsidRPr="00D578B0">
        <w:rPr>
          <w:smallCaps/>
          <w:sz w:val="20"/>
          <w:szCs w:val="20"/>
        </w:rPr>
        <w:t>Mitu</w:t>
      </w:r>
      <w:proofErr w:type="spellEnd"/>
      <w:r w:rsidRPr="00D578B0">
        <w:rPr>
          <w:smallCaps/>
          <w:sz w:val="20"/>
          <w:szCs w:val="20"/>
        </w:rPr>
        <w:t xml:space="preserve"> </w:t>
      </w:r>
      <w:proofErr w:type="spellStart"/>
      <w:r w:rsidRPr="00D578B0">
        <w:rPr>
          <w:smallCaps/>
          <w:sz w:val="20"/>
          <w:szCs w:val="20"/>
        </w:rPr>
        <w:t>Gulati</w:t>
      </w:r>
      <w:proofErr w:type="spellEnd"/>
      <w:r w:rsidRPr="00D578B0">
        <w:rPr>
          <w:smallCaps/>
          <w:sz w:val="20"/>
          <w:szCs w:val="20"/>
        </w:rPr>
        <w:t xml:space="preserve"> &amp; Robert E. Scott, </w:t>
      </w:r>
      <w:proofErr w:type="gramStart"/>
      <w:r w:rsidRPr="00D578B0">
        <w:rPr>
          <w:smallCaps/>
          <w:sz w:val="20"/>
          <w:szCs w:val="20"/>
        </w:rPr>
        <w:t>The  3</w:t>
      </w:r>
      <w:proofErr w:type="gramEnd"/>
      <w:r w:rsidRPr="00D578B0">
        <w:rPr>
          <w:smallCaps/>
          <w:sz w:val="20"/>
          <w:szCs w:val="20"/>
        </w:rPr>
        <w:t xml:space="preserve"> ½ Minute Transaction:  Boilerplate and the Limits of Contract Design (2012)</w:t>
      </w:r>
      <w:r>
        <w:rPr>
          <w:smallCaps/>
          <w:sz w:val="20"/>
          <w:szCs w:val="20"/>
        </w:rPr>
        <w:t xml:space="preserve">.  </w:t>
      </w:r>
      <w:r>
        <w:rPr>
          <w:sz w:val="20"/>
          <w:szCs w:val="20"/>
        </w:rPr>
        <w:t xml:space="preserve">See also Marcel </w:t>
      </w:r>
      <w:proofErr w:type="spellStart"/>
      <w:r>
        <w:rPr>
          <w:sz w:val="20"/>
          <w:szCs w:val="20"/>
        </w:rPr>
        <w:t>Kahan</w:t>
      </w:r>
      <w:proofErr w:type="spellEnd"/>
      <w:r>
        <w:rPr>
          <w:sz w:val="20"/>
          <w:szCs w:val="20"/>
        </w:rPr>
        <w:t xml:space="preserve"> &amp; Michael </w:t>
      </w:r>
      <w:proofErr w:type="spellStart"/>
      <w:r>
        <w:rPr>
          <w:sz w:val="20"/>
          <w:szCs w:val="20"/>
        </w:rPr>
        <w:t>Klausner</w:t>
      </w:r>
      <w:proofErr w:type="spellEnd"/>
      <w:r>
        <w:rPr>
          <w:sz w:val="20"/>
          <w:szCs w:val="20"/>
        </w:rPr>
        <w:t xml:space="preserve">, </w:t>
      </w:r>
      <w:r>
        <w:rPr>
          <w:i/>
          <w:sz w:val="20"/>
          <w:szCs w:val="20"/>
        </w:rPr>
        <w:t>Standardization and Innovation in Corporate Contracting (Or, the “Economics of Boilerplate</w:t>
      </w:r>
      <w:r>
        <w:rPr>
          <w:sz w:val="20"/>
          <w:szCs w:val="20"/>
        </w:rPr>
        <w:t xml:space="preserve">), 83 Va. L. Rev. 713 (1997); </w:t>
      </w:r>
      <w:proofErr w:type="spellStart"/>
      <w:r>
        <w:rPr>
          <w:sz w:val="20"/>
          <w:szCs w:val="20"/>
        </w:rPr>
        <w:t>Omri</w:t>
      </w:r>
      <w:proofErr w:type="spellEnd"/>
      <w:r>
        <w:rPr>
          <w:sz w:val="20"/>
          <w:szCs w:val="20"/>
        </w:rPr>
        <w:t xml:space="preserve"> Ben-</w:t>
      </w:r>
      <w:proofErr w:type="spellStart"/>
      <w:r>
        <w:rPr>
          <w:sz w:val="20"/>
          <w:szCs w:val="20"/>
        </w:rPr>
        <w:t>Shahar</w:t>
      </w:r>
      <w:proofErr w:type="spellEnd"/>
      <w:r>
        <w:rPr>
          <w:sz w:val="20"/>
          <w:szCs w:val="20"/>
        </w:rPr>
        <w:t xml:space="preserve"> &amp; John </w:t>
      </w:r>
      <w:proofErr w:type="spellStart"/>
      <w:r>
        <w:rPr>
          <w:sz w:val="20"/>
          <w:szCs w:val="20"/>
        </w:rPr>
        <w:t>Pottow</w:t>
      </w:r>
      <w:proofErr w:type="spellEnd"/>
      <w:r>
        <w:rPr>
          <w:sz w:val="20"/>
          <w:szCs w:val="20"/>
        </w:rPr>
        <w:t xml:space="preserve">, </w:t>
      </w:r>
      <w:r>
        <w:rPr>
          <w:i/>
          <w:sz w:val="20"/>
          <w:szCs w:val="20"/>
        </w:rPr>
        <w:t>On the Stickiness of Default Rules</w:t>
      </w:r>
      <w:r w:rsidRPr="00B962B8">
        <w:rPr>
          <w:sz w:val="20"/>
          <w:szCs w:val="20"/>
        </w:rPr>
        <w:t>, 33 Fla. St.</w:t>
      </w:r>
      <w:r>
        <w:rPr>
          <w:sz w:val="20"/>
          <w:szCs w:val="20"/>
        </w:rPr>
        <w:t xml:space="preserve"> </w:t>
      </w:r>
      <w:r w:rsidRPr="00B962B8">
        <w:rPr>
          <w:sz w:val="20"/>
          <w:szCs w:val="20"/>
        </w:rPr>
        <w:t>U. L. Rev. 651 (2006</w:t>
      </w:r>
      <w:r>
        <w:rPr>
          <w:sz w:val="20"/>
          <w:szCs w:val="20"/>
        </w:rPr>
        <w:t xml:space="preserve">). </w:t>
      </w:r>
    </w:p>
    <w:p w14:paraId="26B2B032" w14:textId="77777777" w:rsidR="00A1412B" w:rsidRPr="00D578B0" w:rsidRDefault="00A1412B" w:rsidP="0051317B">
      <w:pPr>
        <w:pStyle w:val="FootnoteText"/>
        <w:spacing w:line="240" w:lineRule="auto"/>
        <w:rPr>
          <w:smallCaps/>
          <w:sz w:val="20"/>
          <w:szCs w:val="20"/>
        </w:rPr>
      </w:pPr>
    </w:p>
  </w:footnote>
  <w:footnote w:id="39">
    <w:p w14:paraId="04E91DD1" w14:textId="6D86F658" w:rsidR="00A1412B" w:rsidRPr="00D63CEA" w:rsidRDefault="00A1412B" w:rsidP="0051317B">
      <w:pPr>
        <w:pStyle w:val="FootNote"/>
        <w:rPr>
          <w:rFonts w:ascii="Times New Roman" w:hAnsi="Times New Roman"/>
          <w:sz w:val="20"/>
        </w:rPr>
      </w:pPr>
      <w:r>
        <w:tab/>
      </w:r>
      <w:r>
        <w:tab/>
      </w:r>
      <w:r w:rsidRPr="0051317B">
        <w:rPr>
          <w:rStyle w:val="FootnoteReference"/>
          <w:rFonts w:ascii="Times New Roman" w:hAnsi="Times New Roman"/>
          <w:sz w:val="20"/>
        </w:rPr>
        <w:footnoteRef/>
      </w:r>
      <w:r w:rsidRPr="0051317B">
        <w:rPr>
          <w:rFonts w:ascii="Times New Roman" w:hAnsi="Times New Roman"/>
          <w:sz w:val="20"/>
        </w:rPr>
        <w:t xml:space="preserve"> </w:t>
      </w:r>
      <w:proofErr w:type="gramStart"/>
      <w:r w:rsidRPr="0051317B">
        <w:rPr>
          <w:rFonts w:ascii="Times New Roman" w:hAnsi="Times New Roman"/>
          <w:i/>
          <w:sz w:val="20"/>
        </w:rPr>
        <w:t>See</w:t>
      </w:r>
      <w:r>
        <w:rPr>
          <w:rFonts w:ascii="Times New Roman" w:hAnsi="Times New Roman"/>
          <w:i/>
          <w:sz w:val="20"/>
        </w:rPr>
        <w:t xml:space="preserve"> </w:t>
      </w:r>
      <w:r>
        <w:t xml:space="preserve"> </w:t>
      </w:r>
      <w:r w:rsidRPr="0051317B">
        <w:rPr>
          <w:rFonts w:ascii="Times New Roman" w:hAnsi="Times New Roman"/>
          <w:sz w:val="20"/>
        </w:rPr>
        <w:t>Gilson</w:t>
      </w:r>
      <w:proofErr w:type="gramEnd"/>
      <w:r w:rsidRPr="0051317B">
        <w:rPr>
          <w:rFonts w:ascii="Times New Roman" w:hAnsi="Times New Roman"/>
          <w:sz w:val="20"/>
        </w:rPr>
        <w:t xml:space="preserve">, </w:t>
      </w:r>
      <w:proofErr w:type="spellStart"/>
      <w:r w:rsidRPr="0051317B">
        <w:rPr>
          <w:rFonts w:ascii="Times New Roman" w:hAnsi="Times New Roman"/>
          <w:sz w:val="20"/>
        </w:rPr>
        <w:t>Sabel</w:t>
      </w:r>
      <w:proofErr w:type="spellEnd"/>
      <w:r w:rsidRPr="0051317B">
        <w:rPr>
          <w:rFonts w:ascii="Times New Roman" w:hAnsi="Times New Roman"/>
          <w:sz w:val="20"/>
        </w:rPr>
        <w:t xml:space="preserve"> &amp; Scott, </w:t>
      </w:r>
      <w:r w:rsidRPr="0051317B">
        <w:rPr>
          <w:rFonts w:ascii="Times New Roman" w:hAnsi="Times New Roman"/>
          <w:i/>
          <w:sz w:val="20"/>
        </w:rPr>
        <w:t>Contracting for Innovation</w:t>
      </w:r>
      <w:r>
        <w:rPr>
          <w:rFonts w:ascii="Times New Roman" w:hAnsi="Times New Roman"/>
          <w:i/>
          <w:sz w:val="20"/>
        </w:rPr>
        <w:t>,</w:t>
      </w:r>
      <w:r>
        <w:rPr>
          <w:rFonts w:ascii="Times New Roman" w:hAnsi="Times New Roman"/>
          <w:sz w:val="20"/>
        </w:rPr>
        <w:t xml:space="preserve"> supra note 9</w:t>
      </w:r>
      <w:r w:rsidRPr="0051317B">
        <w:rPr>
          <w:rFonts w:ascii="Times New Roman" w:hAnsi="Times New Roman"/>
          <w:sz w:val="20"/>
        </w:rPr>
        <w:t xml:space="preserve">; Ronald J. Gilson, Charles F. </w:t>
      </w:r>
      <w:proofErr w:type="spellStart"/>
      <w:r w:rsidRPr="0051317B">
        <w:rPr>
          <w:rFonts w:ascii="Times New Roman" w:hAnsi="Times New Roman"/>
          <w:sz w:val="20"/>
        </w:rPr>
        <w:t>Sabel</w:t>
      </w:r>
      <w:proofErr w:type="spellEnd"/>
      <w:r w:rsidRPr="0051317B">
        <w:rPr>
          <w:rFonts w:ascii="Times New Roman" w:hAnsi="Times New Roman"/>
          <w:sz w:val="20"/>
        </w:rPr>
        <w:t xml:space="preserve"> &amp; Robert E. Scott, </w:t>
      </w:r>
      <w:r w:rsidRPr="0051317B">
        <w:rPr>
          <w:rFonts w:ascii="Times New Roman" w:hAnsi="Times New Roman"/>
          <w:i/>
          <w:sz w:val="20"/>
        </w:rPr>
        <w:t>Braiding: The Interaction of Formal and Informal Contracting in Theory, Practice, and Doctrine</w:t>
      </w:r>
      <w:r w:rsidRPr="0051317B">
        <w:rPr>
          <w:rFonts w:ascii="Times New Roman" w:hAnsi="Times New Roman"/>
          <w:sz w:val="20"/>
        </w:rPr>
        <w:t>,</w:t>
      </w:r>
      <w:r w:rsidRPr="0051317B">
        <w:rPr>
          <w:rFonts w:ascii="Times New Roman" w:hAnsi="Times New Roman"/>
          <w:i/>
          <w:sz w:val="20"/>
        </w:rPr>
        <w:t xml:space="preserve"> </w:t>
      </w:r>
      <w:r w:rsidRPr="0051317B">
        <w:rPr>
          <w:rFonts w:ascii="Times New Roman" w:hAnsi="Times New Roman"/>
          <w:smallCaps/>
          <w:sz w:val="20"/>
        </w:rPr>
        <w:t>110 Colum. L. Rev.</w:t>
      </w:r>
      <w:r w:rsidRPr="0051317B">
        <w:rPr>
          <w:rFonts w:ascii="Times New Roman" w:hAnsi="Times New Roman"/>
          <w:sz w:val="20"/>
        </w:rPr>
        <w:t xml:space="preserve"> 1377 (2010); Gilson, </w:t>
      </w:r>
      <w:proofErr w:type="spellStart"/>
      <w:r w:rsidRPr="0051317B">
        <w:rPr>
          <w:rFonts w:ascii="Times New Roman" w:hAnsi="Times New Roman"/>
          <w:sz w:val="20"/>
        </w:rPr>
        <w:t>Sabel</w:t>
      </w:r>
      <w:proofErr w:type="spellEnd"/>
      <w:r w:rsidRPr="0051317B">
        <w:rPr>
          <w:rFonts w:ascii="Times New Roman" w:hAnsi="Times New Roman"/>
          <w:sz w:val="20"/>
        </w:rPr>
        <w:t xml:space="preserve"> &amp; Scott,</w:t>
      </w:r>
      <w:r w:rsidRPr="0051317B">
        <w:rPr>
          <w:rFonts w:ascii="Times New Roman" w:hAnsi="Times New Roman"/>
          <w:i/>
          <w:sz w:val="20"/>
        </w:rPr>
        <w:t xml:space="preserve"> The L</w:t>
      </w:r>
      <w:r>
        <w:rPr>
          <w:rFonts w:ascii="Times New Roman" w:hAnsi="Times New Roman"/>
          <w:i/>
          <w:sz w:val="20"/>
        </w:rPr>
        <w:t xml:space="preserve">imited Role of Generalist Courts, </w:t>
      </w:r>
      <w:r>
        <w:rPr>
          <w:rFonts w:ascii="Times New Roman" w:hAnsi="Times New Roman"/>
          <w:sz w:val="20"/>
        </w:rPr>
        <w:t xml:space="preserve">supra note 11; Ronald J. Gilson, Charles F. </w:t>
      </w:r>
      <w:proofErr w:type="spellStart"/>
      <w:r>
        <w:rPr>
          <w:rFonts w:ascii="Times New Roman" w:hAnsi="Times New Roman"/>
          <w:sz w:val="20"/>
        </w:rPr>
        <w:t>Sabel</w:t>
      </w:r>
      <w:proofErr w:type="spellEnd"/>
      <w:r>
        <w:rPr>
          <w:rFonts w:ascii="Times New Roman" w:hAnsi="Times New Roman"/>
          <w:sz w:val="20"/>
        </w:rPr>
        <w:t xml:space="preserve">, </w:t>
      </w:r>
      <w:r w:rsidRPr="00161D5D">
        <w:rPr>
          <w:rFonts w:ascii="Times New Roman" w:hAnsi="Times New Roman"/>
          <w:i/>
          <w:sz w:val="20"/>
        </w:rPr>
        <w:t xml:space="preserve">Text </w:t>
      </w:r>
      <w:r w:rsidRPr="00161D5D">
        <w:rPr>
          <w:rFonts w:ascii="Times New Roman" w:hAnsi="Times New Roman"/>
          <w:sz w:val="20"/>
        </w:rPr>
        <w:t>and</w:t>
      </w:r>
      <w:r w:rsidRPr="00161D5D">
        <w:rPr>
          <w:rFonts w:ascii="Times New Roman" w:hAnsi="Times New Roman"/>
          <w:i/>
          <w:sz w:val="20"/>
        </w:rPr>
        <w:t xml:space="preserve"> Context: Contract Interpretation as Contract Design,</w:t>
      </w:r>
      <w:r>
        <w:rPr>
          <w:rFonts w:ascii="Times New Roman" w:hAnsi="Times New Roman"/>
          <w:sz w:val="20"/>
        </w:rPr>
        <w:t xml:space="preserve"> 100 Cornell L. Rev. 23 (2014).</w:t>
      </w:r>
    </w:p>
    <w:p w14:paraId="57975E31" w14:textId="77777777" w:rsidR="00A1412B" w:rsidRPr="0051317B" w:rsidRDefault="00A1412B" w:rsidP="0051317B">
      <w:pPr>
        <w:pStyle w:val="FootNote"/>
        <w:rPr>
          <w:rFonts w:ascii="Times New Roman" w:hAnsi="Times New Roman"/>
          <w:sz w:val="20"/>
        </w:rPr>
      </w:pPr>
    </w:p>
  </w:footnote>
  <w:footnote w:id="40">
    <w:p w14:paraId="3E8FFE51" w14:textId="04A03161" w:rsidR="00A1412B" w:rsidRDefault="00A1412B" w:rsidP="00576DD6">
      <w:pPr>
        <w:pStyle w:val="FootnoteText"/>
        <w:spacing w:line="240" w:lineRule="auto"/>
        <w:rPr>
          <w:sz w:val="20"/>
          <w:szCs w:val="20"/>
        </w:rPr>
      </w:pPr>
      <w:r>
        <w:rPr>
          <w:rStyle w:val="FootnoteReference"/>
        </w:rPr>
        <w:footnoteRef/>
      </w:r>
      <w:r>
        <w:t xml:space="preserve"> </w:t>
      </w:r>
      <w:r w:rsidRPr="00161D5D">
        <w:rPr>
          <w:sz w:val="20"/>
          <w:szCs w:val="20"/>
        </w:rPr>
        <w:t>At the time of contract formation the parties have a comparative advantage over courts since the parties share the benefits of efficient contra</w:t>
      </w:r>
      <w:r>
        <w:rPr>
          <w:sz w:val="20"/>
          <w:szCs w:val="20"/>
        </w:rPr>
        <w:t>cting.  A</w:t>
      </w:r>
      <w:r w:rsidRPr="00161D5D">
        <w:rPr>
          <w:sz w:val="20"/>
          <w:szCs w:val="20"/>
        </w:rPr>
        <w:t xml:space="preserve">t the time of subsequent litigation, however, the court will have the benefit of hindsight. Uncertainty has been resolved and the court sees realized facts rather than probability distributions.  Because the parties cannot foresee all contingencies they can delegate to the court the task of completing the contract ex post by considering relevant context. They indicate this intention by adopting a general contract term – a standard </w:t>
      </w:r>
      <w:r>
        <w:rPr>
          <w:sz w:val="20"/>
          <w:szCs w:val="20"/>
        </w:rPr>
        <w:t>such as ‘best efforts’</w:t>
      </w:r>
      <w:r w:rsidRPr="00161D5D">
        <w:rPr>
          <w:sz w:val="20"/>
          <w:szCs w:val="20"/>
        </w:rPr>
        <w:t xml:space="preserve">-- that directs the court to </w:t>
      </w:r>
      <w:proofErr w:type="spellStart"/>
      <w:r>
        <w:rPr>
          <w:sz w:val="20"/>
          <w:szCs w:val="20"/>
        </w:rPr>
        <w:t>to</w:t>
      </w:r>
      <w:proofErr w:type="spellEnd"/>
      <w:r>
        <w:rPr>
          <w:sz w:val="20"/>
          <w:szCs w:val="20"/>
        </w:rPr>
        <w:t xml:space="preserve"> recover</w:t>
      </w:r>
      <w:r w:rsidRPr="00161D5D">
        <w:rPr>
          <w:sz w:val="20"/>
          <w:szCs w:val="20"/>
        </w:rPr>
        <w:t xml:space="preserve"> that context evidence relevant to the particular obligation embedded in the contractually specified term</w:t>
      </w:r>
      <w:r>
        <w:rPr>
          <w:sz w:val="20"/>
          <w:szCs w:val="20"/>
        </w:rPr>
        <w:t xml:space="preserve">.  </w:t>
      </w:r>
      <w:r w:rsidRPr="00161D5D">
        <w:rPr>
          <w:sz w:val="20"/>
          <w:szCs w:val="20"/>
        </w:rPr>
        <w:t>With the aid of interpretation maxims, parties can design combinations of specific and vague terms that more precisely define the “space” within which the court has discretion</w:t>
      </w:r>
      <w:r>
        <w:rPr>
          <w:sz w:val="20"/>
          <w:szCs w:val="20"/>
        </w:rPr>
        <w:t xml:space="preserve">.   </w:t>
      </w:r>
      <w:proofErr w:type="gramStart"/>
      <w:r w:rsidRPr="00161D5D">
        <w:rPr>
          <w:sz w:val="20"/>
          <w:szCs w:val="20"/>
        </w:rPr>
        <w:t xml:space="preserve">Robert E. Scott &amp; George G. Triantis, </w:t>
      </w:r>
      <w:r w:rsidRPr="00161D5D">
        <w:rPr>
          <w:i/>
          <w:sz w:val="20"/>
          <w:szCs w:val="20"/>
        </w:rPr>
        <w:t>Anticipating Litigation in Contract Design</w:t>
      </w:r>
      <w:r w:rsidRPr="00161D5D">
        <w:rPr>
          <w:sz w:val="20"/>
          <w:szCs w:val="20"/>
        </w:rPr>
        <w:t>, 85 Yale L. J. 814 (2006).</w:t>
      </w:r>
      <w:proofErr w:type="gramEnd"/>
      <w:r>
        <w:rPr>
          <w:sz w:val="20"/>
          <w:szCs w:val="20"/>
        </w:rPr>
        <w:t xml:space="preserve"> </w:t>
      </w:r>
    </w:p>
    <w:p w14:paraId="0302C066" w14:textId="77777777" w:rsidR="00A1412B" w:rsidRPr="00576DD6" w:rsidRDefault="00A1412B" w:rsidP="00576DD6">
      <w:pPr>
        <w:pStyle w:val="FootnoteText"/>
        <w:spacing w:line="240" w:lineRule="auto"/>
        <w:rPr>
          <w:sz w:val="20"/>
          <w:szCs w:val="20"/>
        </w:rPr>
      </w:pPr>
    </w:p>
  </w:footnote>
  <w:footnote w:id="41">
    <w:p w14:paraId="18BB035B" w14:textId="3C89CA71" w:rsidR="00A1412B" w:rsidRDefault="00A1412B" w:rsidP="00576DD6">
      <w:pPr>
        <w:pStyle w:val="FootnoteText"/>
        <w:spacing w:line="240" w:lineRule="auto"/>
        <w:rPr>
          <w:sz w:val="20"/>
          <w:szCs w:val="20"/>
        </w:rPr>
      </w:pPr>
      <w:r>
        <w:rPr>
          <w:rStyle w:val="FootnoteReference"/>
        </w:rPr>
        <w:footnoteRef/>
      </w:r>
      <w:r>
        <w:t xml:space="preserve"> </w:t>
      </w:r>
      <w:r w:rsidRPr="00576DD6">
        <w:rPr>
          <w:i/>
          <w:sz w:val="20"/>
          <w:szCs w:val="20"/>
        </w:rPr>
        <w:t>See</w:t>
      </w:r>
      <w:r w:rsidRPr="00576DD6">
        <w:rPr>
          <w:sz w:val="20"/>
          <w:szCs w:val="20"/>
        </w:rPr>
        <w:t xml:space="preserve"> Lisa Bernstein, </w:t>
      </w:r>
      <w:r w:rsidRPr="00576DD6">
        <w:rPr>
          <w:i/>
          <w:sz w:val="20"/>
          <w:szCs w:val="20"/>
        </w:rPr>
        <w:t>Opting out of the Legal System: Extralegal Contractual Relations in the Diamond Industry</w:t>
      </w:r>
      <w:r w:rsidRPr="00576DD6">
        <w:rPr>
          <w:sz w:val="20"/>
          <w:szCs w:val="20"/>
        </w:rPr>
        <w:t xml:space="preserve">, 21 </w:t>
      </w:r>
      <w:r w:rsidRPr="00576DD6">
        <w:rPr>
          <w:smallCaps/>
          <w:sz w:val="20"/>
          <w:szCs w:val="20"/>
        </w:rPr>
        <w:t>J. Leg. Stud.</w:t>
      </w:r>
      <w:r w:rsidRPr="00576DD6">
        <w:rPr>
          <w:sz w:val="20"/>
          <w:szCs w:val="20"/>
        </w:rPr>
        <w:t xml:space="preserve"> 115, 119–130 (1992); Lisa Bernstein,</w:t>
      </w:r>
      <w:r w:rsidRPr="00576DD6">
        <w:rPr>
          <w:i/>
          <w:sz w:val="20"/>
          <w:szCs w:val="20"/>
        </w:rPr>
        <w:t xml:space="preserve"> Merchant Law in a Merchant Court: Rethinking the Code’s Search for Immanent Business Norms</w:t>
      </w:r>
      <w:r w:rsidRPr="00576DD6">
        <w:rPr>
          <w:sz w:val="20"/>
          <w:szCs w:val="20"/>
        </w:rPr>
        <w:t xml:space="preserve">, 144 </w:t>
      </w:r>
      <w:r w:rsidRPr="00576DD6">
        <w:rPr>
          <w:smallCaps/>
          <w:sz w:val="20"/>
          <w:szCs w:val="20"/>
        </w:rPr>
        <w:t>U. Pa. L. Rev.</w:t>
      </w:r>
      <w:r w:rsidRPr="00576DD6">
        <w:rPr>
          <w:sz w:val="20"/>
          <w:szCs w:val="20"/>
        </w:rPr>
        <w:t xml:space="preserve"> 1765, 1771–77 (1996); Lisa Bernstein, </w:t>
      </w:r>
      <w:r w:rsidRPr="00576DD6">
        <w:rPr>
          <w:i/>
          <w:sz w:val="20"/>
          <w:szCs w:val="20"/>
        </w:rPr>
        <w:t xml:space="preserve">Private Commercial Law in the Cotton Industry: Creating Cooperation </w:t>
      </w:r>
      <w:proofErr w:type="gramStart"/>
      <w:r w:rsidRPr="00576DD6">
        <w:rPr>
          <w:i/>
          <w:sz w:val="20"/>
          <w:szCs w:val="20"/>
        </w:rPr>
        <w:t>Through</w:t>
      </w:r>
      <w:proofErr w:type="gramEnd"/>
      <w:r w:rsidRPr="00576DD6">
        <w:rPr>
          <w:i/>
          <w:sz w:val="20"/>
          <w:szCs w:val="20"/>
        </w:rPr>
        <w:t xml:space="preserve"> Rules, Norms, and Institutions</w:t>
      </w:r>
      <w:r w:rsidRPr="00576DD6">
        <w:rPr>
          <w:sz w:val="20"/>
          <w:szCs w:val="20"/>
        </w:rPr>
        <w:t xml:space="preserve">, 99 </w:t>
      </w:r>
      <w:r w:rsidRPr="00576DD6">
        <w:rPr>
          <w:smallCaps/>
          <w:sz w:val="20"/>
          <w:szCs w:val="20"/>
        </w:rPr>
        <w:t>Mich. L. Rev.</w:t>
      </w:r>
      <w:r w:rsidRPr="00576DD6">
        <w:rPr>
          <w:sz w:val="20"/>
          <w:szCs w:val="20"/>
        </w:rPr>
        <w:t xml:space="preserve"> 1724, 1745–54 (2001)</w:t>
      </w:r>
      <w:r>
        <w:rPr>
          <w:sz w:val="20"/>
          <w:szCs w:val="20"/>
        </w:rPr>
        <w:t>.</w:t>
      </w:r>
    </w:p>
    <w:p w14:paraId="457F97F3" w14:textId="77777777" w:rsidR="00A1412B" w:rsidRDefault="00A1412B" w:rsidP="00576DD6">
      <w:pPr>
        <w:pStyle w:val="FootnoteText"/>
        <w:spacing w:line="240" w:lineRule="auto"/>
      </w:pPr>
    </w:p>
  </w:footnote>
  <w:footnote w:id="42">
    <w:p w14:paraId="48C54A86" w14:textId="32EF7636" w:rsidR="00A1412B" w:rsidRDefault="00A1412B" w:rsidP="003C18D9">
      <w:pPr>
        <w:pStyle w:val="FootnoteText"/>
        <w:spacing w:line="240" w:lineRule="auto"/>
        <w:rPr>
          <w:sz w:val="20"/>
          <w:szCs w:val="20"/>
        </w:rPr>
      </w:pPr>
      <w:r>
        <w:rPr>
          <w:rStyle w:val="FootnoteReference"/>
        </w:rPr>
        <w:footnoteRef/>
      </w:r>
      <w:r>
        <w:t xml:space="preserve"> </w:t>
      </w:r>
      <w:r w:rsidRPr="003C18D9">
        <w:rPr>
          <w:sz w:val="20"/>
          <w:szCs w:val="20"/>
        </w:rPr>
        <w:t xml:space="preserve">See Alan Schwartz &amp; Robert E. Scott, </w:t>
      </w:r>
      <w:proofErr w:type="spellStart"/>
      <w:r w:rsidRPr="003C18D9">
        <w:rPr>
          <w:i/>
          <w:sz w:val="20"/>
          <w:szCs w:val="20"/>
        </w:rPr>
        <w:t>Precontractual</w:t>
      </w:r>
      <w:proofErr w:type="spellEnd"/>
      <w:r w:rsidRPr="003C18D9">
        <w:rPr>
          <w:i/>
          <w:sz w:val="20"/>
          <w:szCs w:val="20"/>
        </w:rPr>
        <w:t xml:space="preserve"> Liability and Preliminary Agreemen</w:t>
      </w:r>
      <w:r>
        <w:rPr>
          <w:i/>
          <w:sz w:val="20"/>
          <w:szCs w:val="20"/>
        </w:rPr>
        <w:t xml:space="preserve">ts, </w:t>
      </w:r>
      <w:r w:rsidRPr="003C18D9">
        <w:rPr>
          <w:sz w:val="20"/>
          <w:szCs w:val="20"/>
        </w:rPr>
        <w:t xml:space="preserve">120 </w:t>
      </w:r>
      <w:proofErr w:type="spellStart"/>
      <w:r w:rsidRPr="003C18D9">
        <w:rPr>
          <w:sz w:val="20"/>
          <w:szCs w:val="20"/>
        </w:rPr>
        <w:t>Harv</w:t>
      </w:r>
      <w:proofErr w:type="spellEnd"/>
      <w:r w:rsidRPr="003C18D9">
        <w:rPr>
          <w:sz w:val="20"/>
          <w:szCs w:val="20"/>
        </w:rPr>
        <w:t>. L. Rev. 661 (2007).</w:t>
      </w:r>
    </w:p>
    <w:p w14:paraId="2796B5AF" w14:textId="77777777" w:rsidR="00A1412B" w:rsidRPr="003C18D9" w:rsidRDefault="00A1412B" w:rsidP="003C18D9">
      <w:pPr>
        <w:pStyle w:val="FootnoteText"/>
        <w:spacing w:line="240" w:lineRule="auto"/>
      </w:pPr>
    </w:p>
  </w:footnote>
  <w:footnote w:id="43">
    <w:p w14:paraId="55FFE129" w14:textId="4C7220B5" w:rsidR="00A1412B" w:rsidRPr="00576DD6" w:rsidRDefault="00A1412B">
      <w:pPr>
        <w:pStyle w:val="FootnoteText"/>
        <w:rPr>
          <w:i/>
        </w:rPr>
      </w:pPr>
      <w:r w:rsidRPr="00BF21C9">
        <w:rPr>
          <w:rStyle w:val="FootnoteReference"/>
          <w:sz w:val="20"/>
          <w:szCs w:val="20"/>
        </w:rPr>
        <w:footnoteRef/>
      </w:r>
      <w:r w:rsidRPr="00BF21C9">
        <w:rPr>
          <w:sz w:val="20"/>
          <w:szCs w:val="20"/>
        </w:rPr>
        <w:t xml:space="preserve"> Gilson</w:t>
      </w:r>
      <w:r w:rsidRPr="00576DD6">
        <w:rPr>
          <w:sz w:val="20"/>
          <w:szCs w:val="20"/>
        </w:rPr>
        <w:t xml:space="preserve">, </w:t>
      </w:r>
      <w:proofErr w:type="spellStart"/>
      <w:r w:rsidRPr="00576DD6">
        <w:rPr>
          <w:sz w:val="20"/>
          <w:szCs w:val="20"/>
        </w:rPr>
        <w:t>Sabel</w:t>
      </w:r>
      <w:proofErr w:type="spellEnd"/>
      <w:r w:rsidRPr="00576DD6">
        <w:rPr>
          <w:sz w:val="20"/>
          <w:szCs w:val="20"/>
        </w:rPr>
        <w:t xml:space="preserve"> &amp; Scott, </w:t>
      </w:r>
      <w:r w:rsidRPr="00576DD6">
        <w:rPr>
          <w:i/>
          <w:sz w:val="20"/>
          <w:szCs w:val="20"/>
        </w:rPr>
        <w:t xml:space="preserve">Contracting for Innovation, </w:t>
      </w:r>
      <w:r w:rsidRPr="00D63CEA">
        <w:rPr>
          <w:sz w:val="20"/>
          <w:szCs w:val="20"/>
        </w:rPr>
        <w:t>supra note – at ---.</w:t>
      </w:r>
    </w:p>
  </w:footnote>
  <w:footnote w:id="44">
    <w:p w14:paraId="3CDAF874" w14:textId="00DD0C3D" w:rsidR="00A1412B" w:rsidRPr="00C702EA" w:rsidRDefault="00A1412B" w:rsidP="00311897">
      <w:pPr>
        <w:pStyle w:val="FootnoteText"/>
        <w:spacing w:line="240" w:lineRule="auto"/>
        <w:rPr>
          <w:sz w:val="20"/>
          <w:szCs w:val="20"/>
        </w:rPr>
      </w:pPr>
      <w:r w:rsidRPr="00BF21C9">
        <w:rPr>
          <w:rStyle w:val="FootnoteReference"/>
          <w:sz w:val="20"/>
          <w:szCs w:val="20"/>
        </w:rPr>
        <w:footnoteRef/>
      </w:r>
      <w:r>
        <w:t xml:space="preserve"> </w:t>
      </w:r>
      <w:r w:rsidRPr="00311897">
        <w:rPr>
          <w:sz w:val="20"/>
          <w:szCs w:val="20"/>
        </w:rPr>
        <w:t xml:space="preserve">The discussion in this part draws on Gilson, </w:t>
      </w:r>
      <w:proofErr w:type="spellStart"/>
      <w:r w:rsidRPr="00311897">
        <w:rPr>
          <w:sz w:val="20"/>
          <w:szCs w:val="20"/>
        </w:rPr>
        <w:t>Sabel</w:t>
      </w:r>
      <w:proofErr w:type="spellEnd"/>
      <w:r w:rsidRPr="00311897">
        <w:rPr>
          <w:sz w:val="20"/>
          <w:szCs w:val="20"/>
        </w:rPr>
        <w:t xml:space="preserve"> &amp; Scott, </w:t>
      </w:r>
      <w:r w:rsidRPr="00311897">
        <w:rPr>
          <w:i/>
          <w:sz w:val="20"/>
          <w:szCs w:val="20"/>
        </w:rPr>
        <w:t>Text and Context</w:t>
      </w:r>
      <w:r>
        <w:rPr>
          <w:sz w:val="20"/>
          <w:szCs w:val="20"/>
        </w:rPr>
        <w:t>, supra note 38.</w:t>
      </w:r>
    </w:p>
    <w:p w14:paraId="54E1E70B" w14:textId="77777777" w:rsidR="00A1412B" w:rsidRDefault="00A1412B" w:rsidP="00311897">
      <w:pPr>
        <w:pStyle w:val="FootnoteText"/>
        <w:spacing w:line="240" w:lineRule="auto"/>
      </w:pPr>
    </w:p>
  </w:footnote>
  <w:footnote w:id="45">
    <w:p w14:paraId="702F5081" w14:textId="3B2B3E0D" w:rsidR="00A1412B" w:rsidRPr="002A4193" w:rsidRDefault="00A1412B" w:rsidP="002A4193">
      <w:pPr>
        <w:rPr>
          <w:rFonts w:ascii="Times New Roman" w:hAnsi="Times New Roman" w:cs="Times New Roman"/>
          <w:sz w:val="20"/>
          <w:szCs w:val="20"/>
        </w:rPr>
      </w:pPr>
      <w:r>
        <w:t xml:space="preserve"> </w:t>
      </w:r>
      <w:r>
        <w:tab/>
      </w:r>
      <w:r>
        <w:rPr>
          <w:rStyle w:val="FootnoteReference"/>
        </w:rPr>
        <w:footnoteRef/>
      </w:r>
      <w:r w:rsidRPr="001A6CCC">
        <w:t xml:space="preserve"> </w:t>
      </w:r>
      <w:r>
        <w:rPr>
          <w:rFonts w:ascii="Times New Roman" w:hAnsi="Times New Roman" w:cs="Times New Roman"/>
          <w:sz w:val="20"/>
          <w:szCs w:val="20"/>
        </w:rPr>
        <w:t>I</w:t>
      </w:r>
      <w:r w:rsidRPr="002A4193">
        <w:rPr>
          <w:rFonts w:ascii="Times New Roman" w:hAnsi="Times New Roman" w:cs="Times New Roman"/>
          <w:sz w:val="20"/>
          <w:szCs w:val="20"/>
        </w:rPr>
        <w:t xml:space="preserve"> have previously described the character of the contracting problem facing parties in rapidly innovating industries</w:t>
      </w:r>
      <w:r>
        <w:rPr>
          <w:rFonts w:ascii="Times New Roman" w:hAnsi="Times New Roman" w:cs="Times New Roman"/>
          <w:sz w:val="20"/>
          <w:szCs w:val="20"/>
        </w:rPr>
        <w:t xml:space="preserve"> with high levels of uncertainty</w:t>
      </w:r>
      <w:r w:rsidRPr="002A4193">
        <w:rPr>
          <w:rFonts w:ascii="Times New Roman" w:hAnsi="Times New Roman" w:cs="Times New Roman"/>
          <w:sz w:val="20"/>
          <w:szCs w:val="20"/>
        </w:rPr>
        <w:t>:</w:t>
      </w:r>
    </w:p>
    <w:p w14:paraId="623058DA" w14:textId="4CBE42EE" w:rsidR="00A1412B" w:rsidRPr="002A4193" w:rsidRDefault="00A1412B" w:rsidP="002A4193">
      <w:pPr>
        <w:ind w:left="720"/>
        <w:rPr>
          <w:rFonts w:ascii="Times New Roman" w:hAnsi="Times New Roman" w:cs="Times New Roman"/>
          <w:sz w:val="20"/>
          <w:szCs w:val="20"/>
        </w:rPr>
      </w:pPr>
      <w:r w:rsidRPr="002A4193">
        <w:rPr>
          <w:rFonts w:ascii="Times New Roman" w:hAnsi="Times New Roman" w:cs="Times New Roman"/>
          <w:sz w:val="20"/>
          <w:szCs w:val="20"/>
        </w:rPr>
        <w:tab/>
        <w:t>[T]the transactions governed by [</w:t>
      </w:r>
      <w:r>
        <w:rPr>
          <w:rFonts w:ascii="Times New Roman" w:hAnsi="Times New Roman" w:cs="Times New Roman"/>
          <w:sz w:val="20"/>
          <w:szCs w:val="20"/>
        </w:rPr>
        <w:t xml:space="preserve">these </w:t>
      </w:r>
      <w:r w:rsidRPr="002A4193">
        <w:rPr>
          <w:rFonts w:ascii="Times New Roman" w:hAnsi="Times New Roman" w:cs="Times New Roman"/>
          <w:sz w:val="20"/>
          <w:szCs w:val="20"/>
        </w:rPr>
        <w:t>contracts] share a number of characteristics.  First, the primary output is an innovative “product,” one whose characteristics, costs, and manufacture, because of uncertainty, cannot be specified ex ante.  Second, neither party alone has the capacity to specify and develop the product’s characteristics, costs, and methods of manufacture; hence, there must be collaboration among companies with different capabilities.  Third, the process of specification and development will be iterative:  Individual design elements will depend on the recurrent input from those working upstream or downstream and from those working on other design elements.  Thus, central to these transactions are communication and cooperation across the two (or more) firms—the design, specification, and determination of manufacturing characteristics will be the result of repeated interactive collaborative efforts by employees of separate firms with distinct capabilities.</w:t>
      </w:r>
    </w:p>
    <w:p w14:paraId="73CD83ED" w14:textId="7B9B7B3B" w:rsidR="00A1412B" w:rsidRPr="002A4193" w:rsidRDefault="00A1412B" w:rsidP="002A4193">
      <w:pPr>
        <w:rPr>
          <w:rFonts w:ascii="Times New Roman" w:hAnsi="Times New Roman" w:cs="Times New Roman"/>
          <w:sz w:val="20"/>
          <w:szCs w:val="20"/>
        </w:rPr>
      </w:pPr>
      <w:r>
        <w:rPr>
          <w:rFonts w:ascii="Times New Roman" w:hAnsi="Times New Roman" w:cs="Times New Roman"/>
          <w:sz w:val="20"/>
          <w:szCs w:val="20"/>
        </w:rPr>
        <w:t xml:space="preserve">Gilson, </w:t>
      </w:r>
      <w:proofErr w:type="spellStart"/>
      <w:r>
        <w:rPr>
          <w:rFonts w:ascii="Times New Roman" w:hAnsi="Times New Roman" w:cs="Times New Roman"/>
          <w:sz w:val="20"/>
          <w:szCs w:val="20"/>
        </w:rPr>
        <w:t>Sabel</w:t>
      </w:r>
      <w:proofErr w:type="spellEnd"/>
      <w:r>
        <w:rPr>
          <w:rFonts w:ascii="Times New Roman" w:hAnsi="Times New Roman" w:cs="Times New Roman"/>
          <w:sz w:val="20"/>
          <w:szCs w:val="20"/>
        </w:rPr>
        <w:t xml:space="preserve"> &amp; Scott, supra note 9</w:t>
      </w:r>
      <w:r w:rsidRPr="002A4193">
        <w:rPr>
          <w:rFonts w:ascii="Times New Roman" w:hAnsi="Times New Roman" w:cs="Times New Roman"/>
          <w:sz w:val="20"/>
          <w:szCs w:val="20"/>
        </w:rPr>
        <w:t xml:space="preserve"> at 448-51.</w:t>
      </w:r>
    </w:p>
    <w:p w14:paraId="32E5FB64" w14:textId="0CDF5E3F" w:rsidR="00A1412B" w:rsidRPr="00161D5D" w:rsidRDefault="00A1412B" w:rsidP="00161D5D">
      <w:pPr>
        <w:rPr>
          <w:rFonts w:ascii="Times New Roman" w:hAnsi="Times New Roman" w:cs="Times New Roman"/>
          <w:sz w:val="20"/>
          <w:szCs w:val="20"/>
        </w:rPr>
      </w:pPr>
    </w:p>
    <w:p w14:paraId="3066B1D3" w14:textId="7459C4F6" w:rsidR="00A1412B" w:rsidRPr="00161D5D" w:rsidRDefault="00A1412B" w:rsidP="00161D5D">
      <w:pPr>
        <w:rPr>
          <w:rFonts w:ascii="Times New Roman" w:hAnsi="Times New Roman" w:cs="Times New Roman"/>
          <w:sz w:val="20"/>
          <w:szCs w:val="20"/>
        </w:rPr>
      </w:pPr>
    </w:p>
  </w:footnote>
  <w:footnote w:id="46">
    <w:p w14:paraId="5F466AEF" w14:textId="5FF2F3CD" w:rsidR="00A1412B" w:rsidRPr="00161D5D" w:rsidRDefault="00A1412B" w:rsidP="00161D5D">
      <w:pPr>
        <w:rPr>
          <w:rFonts w:ascii="Times New Roman" w:hAnsi="Times New Roman" w:cs="Times New Roman"/>
          <w:sz w:val="20"/>
          <w:szCs w:val="20"/>
        </w:rPr>
      </w:pPr>
      <w:r w:rsidRPr="00161D5D">
        <w:rPr>
          <w:rFonts w:ascii="Times New Roman" w:hAnsi="Times New Roman" w:cs="Times New Roman"/>
          <w:sz w:val="20"/>
          <w:szCs w:val="20"/>
        </w:rPr>
        <w:tab/>
      </w:r>
      <w:r w:rsidRPr="00161D5D">
        <w:rPr>
          <w:rStyle w:val="FootnoteReference"/>
          <w:rFonts w:ascii="Times New Roman" w:hAnsi="Times New Roman"/>
          <w:sz w:val="20"/>
          <w:szCs w:val="20"/>
        </w:rPr>
        <w:footnoteRef/>
      </w:r>
      <w:r w:rsidRPr="00161D5D">
        <w:rPr>
          <w:rFonts w:ascii="Times New Roman" w:hAnsi="Times New Roman" w:cs="Times New Roman"/>
          <w:sz w:val="20"/>
          <w:szCs w:val="20"/>
        </w:rPr>
        <w:t xml:space="preserve"> A thick market is one in which many commercial actors are exchanging goods or services by using the same or similar contracting behaviors and strategies.  In this respect, similarity should be understood as</w:t>
      </w:r>
      <w:r>
        <w:rPr>
          <w:rFonts w:ascii="Times New Roman" w:hAnsi="Times New Roman" w:cs="Times New Roman"/>
          <w:sz w:val="20"/>
          <w:szCs w:val="20"/>
        </w:rPr>
        <w:t xml:space="preserve"> a continuum.  B</w:t>
      </w:r>
      <w:r w:rsidRPr="00161D5D">
        <w:rPr>
          <w:rFonts w:ascii="Times New Roman" w:hAnsi="Times New Roman" w:cs="Times New Roman"/>
          <w:sz w:val="20"/>
          <w:szCs w:val="20"/>
        </w:rPr>
        <w:t xml:space="preserve">roadly similar transactions may still have significant idiosyncrasies, which will influence how a multilateral </w:t>
      </w:r>
      <w:r>
        <w:rPr>
          <w:rFonts w:ascii="Times New Roman" w:hAnsi="Times New Roman" w:cs="Times New Roman"/>
          <w:sz w:val="20"/>
          <w:szCs w:val="20"/>
        </w:rPr>
        <w:t xml:space="preserve">regime </w:t>
      </w:r>
      <w:r w:rsidRPr="00161D5D">
        <w:rPr>
          <w:rFonts w:ascii="Times New Roman" w:hAnsi="Times New Roman" w:cs="Times New Roman"/>
          <w:sz w:val="20"/>
          <w:szCs w:val="20"/>
        </w:rPr>
        <w:t xml:space="preserve">addresses markets that are thick at a general level and thinner with respect to particular transactions. The polar opposite—a thin market—exists when each contracting party must negotiate a bespoke agreement with its counterparty. </w:t>
      </w:r>
      <w:r>
        <w:rPr>
          <w:rFonts w:ascii="Times New Roman" w:hAnsi="Times New Roman" w:cs="Times New Roman"/>
          <w:sz w:val="20"/>
          <w:szCs w:val="20"/>
        </w:rPr>
        <w:t xml:space="preserve"> </w:t>
      </w:r>
      <w:r w:rsidRPr="00161D5D">
        <w:rPr>
          <w:rFonts w:ascii="Times New Roman" w:hAnsi="Times New Roman" w:cs="Times New Roman"/>
          <w:sz w:val="20"/>
          <w:szCs w:val="20"/>
        </w:rPr>
        <w:t>Here contracting is bilateral.</w:t>
      </w:r>
    </w:p>
    <w:p w14:paraId="45D2260A" w14:textId="600C9BFC" w:rsidR="00A1412B" w:rsidRPr="00161D5D" w:rsidRDefault="00A1412B" w:rsidP="00161D5D">
      <w:pPr>
        <w:rPr>
          <w:rFonts w:ascii="Times New Roman" w:hAnsi="Times New Roman" w:cs="Times New Roman"/>
          <w:sz w:val="20"/>
          <w:szCs w:val="20"/>
        </w:rPr>
      </w:pPr>
    </w:p>
  </w:footnote>
  <w:footnote w:id="47">
    <w:p w14:paraId="5E521030" w14:textId="4DC4925A" w:rsidR="00A1412B" w:rsidRPr="00D031D3" w:rsidRDefault="00A1412B" w:rsidP="00D031D3">
      <w:pPr>
        <w:ind w:firstLine="720"/>
        <w:jc w:val="both"/>
        <w:rPr>
          <w:rFonts w:ascii="Times New Roman" w:hAnsi="Times New Roman" w:cs="Times New Roman"/>
          <w:sz w:val="20"/>
          <w:szCs w:val="20"/>
        </w:rPr>
      </w:pPr>
      <w:r w:rsidRPr="00D031D3">
        <w:rPr>
          <w:rStyle w:val="FootnoteReference"/>
          <w:rFonts w:ascii="Times New Roman" w:hAnsi="Times New Roman"/>
          <w:sz w:val="20"/>
          <w:szCs w:val="20"/>
        </w:rPr>
        <w:footnoteRef/>
      </w:r>
      <w:r w:rsidRPr="00D031D3">
        <w:rPr>
          <w:rFonts w:ascii="Times New Roman" w:hAnsi="Times New Roman" w:cs="Times New Roman"/>
          <w:sz w:val="20"/>
          <w:szCs w:val="20"/>
        </w:rPr>
        <w:t xml:space="preserve"> </w:t>
      </w:r>
      <w:r>
        <w:rPr>
          <w:rFonts w:ascii="Times New Roman" w:hAnsi="Times New Roman" w:cs="Times New Roman"/>
          <w:sz w:val="20"/>
          <w:szCs w:val="20"/>
        </w:rPr>
        <w:t xml:space="preserve">The ideal for parties in this setting is to write a </w:t>
      </w:r>
      <w:r w:rsidRPr="00D031D3">
        <w:rPr>
          <w:rFonts w:ascii="Times New Roman" w:hAnsi="Times New Roman" w:cs="Times New Roman"/>
          <w:sz w:val="20"/>
          <w:szCs w:val="20"/>
        </w:rPr>
        <w:t xml:space="preserve">complete state-contingent contract.  Such a contract specifies ex ante the parties’ obligations in each possible ex post state of the world and is enforceable according to its terms, thereby assuring that performance occurs when, but only when, it is efficient. But while complete state-contingent contracts theoretically can address the tension between efficient ex ante investment and efficient ex post performance, the transaction costs of contracting frustrate this happy outcome.  Of particular importance are the information barriers that prevent parties from controlling moral hazard when the future states of the world depend on their own actions.  As a result, when the level of uncertainty is high, contracts will be incomplete because it simply costs too much (or may be impossible) for contracting parties to foresee and then describe appropriately the contractual outcomes for all (or even most) of the possible future states of the world that might materialize. </w:t>
      </w:r>
      <w:r>
        <w:rPr>
          <w:rFonts w:ascii="Times New Roman" w:hAnsi="Times New Roman" w:cs="Times New Roman"/>
          <w:sz w:val="20"/>
          <w:szCs w:val="20"/>
        </w:rPr>
        <w:t>Not only is it</w:t>
      </w:r>
      <w:r w:rsidRPr="00D031D3">
        <w:rPr>
          <w:rFonts w:ascii="Times New Roman" w:hAnsi="Times New Roman" w:cs="Times New Roman"/>
          <w:sz w:val="20"/>
          <w:szCs w:val="20"/>
        </w:rPr>
        <w:t xml:space="preserve"> costly to specify what should happen in different future states, </w:t>
      </w:r>
      <w:r>
        <w:rPr>
          <w:rFonts w:ascii="Times New Roman" w:hAnsi="Times New Roman" w:cs="Times New Roman"/>
          <w:sz w:val="20"/>
          <w:szCs w:val="20"/>
        </w:rPr>
        <w:t>but</w:t>
      </w:r>
      <w:r w:rsidRPr="00D031D3">
        <w:rPr>
          <w:rFonts w:ascii="Times New Roman" w:hAnsi="Times New Roman" w:cs="Times New Roman"/>
          <w:sz w:val="20"/>
          <w:szCs w:val="20"/>
        </w:rPr>
        <w:t xml:space="preserve"> it is costly to prove what actually did happen. </w:t>
      </w:r>
      <w:r>
        <w:rPr>
          <w:rFonts w:ascii="Times New Roman" w:hAnsi="Times New Roman" w:cs="Times New Roman"/>
          <w:sz w:val="20"/>
          <w:szCs w:val="20"/>
        </w:rPr>
        <w:t xml:space="preserve"> Thus, b</w:t>
      </w:r>
      <w:r w:rsidRPr="00D031D3">
        <w:rPr>
          <w:rFonts w:ascii="Times New Roman" w:hAnsi="Times New Roman" w:cs="Times New Roman"/>
          <w:sz w:val="20"/>
          <w:szCs w:val="20"/>
        </w:rPr>
        <w:t>oth ex ante and ex post contracting costs prevent parties from writing complete state contingent contracts</w:t>
      </w:r>
      <w:r>
        <w:rPr>
          <w:sz w:val="20"/>
          <w:szCs w:val="20"/>
        </w:rPr>
        <w:t xml:space="preserve">. For discussion, see Gilson, </w:t>
      </w:r>
      <w:proofErr w:type="spellStart"/>
      <w:r>
        <w:rPr>
          <w:sz w:val="20"/>
          <w:szCs w:val="20"/>
        </w:rPr>
        <w:t>Sabel</w:t>
      </w:r>
      <w:proofErr w:type="spellEnd"/>
      <w:r>
        <w:rPr>
          <w:sz w:val="20"/>
          <w:szCs w:val="20"/>
        </w:rPr>
        <w:t xml:space="preserve"> &amp; Scott, </w:t>
      </w:r>
      <w:r>
        <w:rPr>
          <w:i/>
          <w:sz w:val="20"/>
          <w:szCs w:val="20"/>
        </w:rPr>
        <w:t xml:space="preserve">Contracting for Innovation, </w:t>
      </w:r>
      <w:r w:rsidRPr="00D031D3">
        <w:rPr>
          <w:sz w:val="20"/>
          <w:szCs w:val="20"/>
        </w:rPr>
        <w:t xml:space="preserve">supra </w:t>
      </w:r>
      <w:proofErr w:type="gramStart"/>
      <w:r w:rsidRPr="00D031D3">
        <w:rPr>
          <w:sz w:val="20"/>
          <w:szCs w:val="20"/>
        </w:rPr>
        <w:t>note</w:t>
      </w:r>
      <w:r>
        <w:rPr>
          <w:sz w:val="20"/>
          <w:szCs w:val="20"/>
        </w:rPr>
        <w:t xml:space="preserve"> </w:t>
      </w:r>
      <w:r>
        <w:rPr>
          <w:i/>
          <w:sz w:val="20"/>
          <w:szCs w:val="20"/>
        </w:rPr>
        <w:t xml:space="preserve"> </w:t>
      </w:r>
      <w:r>
        <w:rPr>
          <w:sz w:val="20"/>
          <w:szCs w:val="20"/>
        </w:rPr>
        <w:t>9</w:t>
      </w:r>
      <w:proofErr w:type="gramEnd"/>
      <w:r>
        <w:rPr>
          <w:sz w:val="20"/>
          <w:szCs w:val="20"/>
        </w:rPr>
        <w:t xml:space="preserve"> at 452-3.</w:t>
      </w:r>
    </w:p>
    <w:p w14:paraId="0C259670" w14:textId="77777777" w:rsidR="00A1412B" w:rsidRPr="00D031D3" w:rsidRDefault="00A1412B" w:rsidP="00D031D3">
      <w:pPr>
        <w:pStyle w:val="FootnoteText"/>
        <w:spacing w:line="240" w:lineRule="auto"/>
        <w:rPr>
          <w:sz w:val="20"/>
          <w:szCs w:val="20"/>
        </w:rPr>
      </w:pPr>
    </w:p>
  </w:footnote>
  <w:footnote w:id="48">
    <w:p w14:paraId="7581A4DB" w14:textId="0E88E709" w:rsidR="00A1412B" w:rsidRDefault="00A1412B" w:rsidP="00B915CA">
      <w:pPr>
        <w:ind w:firstLine="720"/>
        <w:rPr>
          <w:rFonts w:ascii="Times New Roman" w:hAnsi="Times New Roman" w:cs="Times New Roman"/>
          <w:sz w:val="20"/>
          <w:szCs w:val="20"/>
        </w:rPr>
      </w:pPr>
      <w:r w:rsidRPr="00B915CA">
        <w:rPr>
          <w:rStyle w:val="FootnoteReference"/>
          <w:rFonts w:ascii="Times New Roman" w:hAnsi="Times New Roman"/>
          <w:sz w:val="20"/>
          <w:szCs w:val="20"/>
        </w:rPr>
        <w:footnoteRef/>
      </w:r>
      <w:r w:rsidRPr="00B915CA">
        <w:rPr>
          <w:rFonts w:ascii="Times New Roman" w:hAnsi="Times New Roman" w:cs="Times New Roman"/>
          <w:sz w:val="20"/>
          <w:szCs w:val="20"/>
        </w:rPr>
        <w:t xml:space="preserve"> For example, see the following “purpose” clause from the Fountain Manufacturing Agreement between Apple Computer, Inc. and SCI Systems, Inc. (May 31, 1996) [hereinafter Apple/SCI Manufacturing Agreement], </w:t>
      </w:r>
      <w:r w:rsidRPr="00B915CA">
        <w:rPr>
          <w:rFonts w:ascii="Times New Roman" w:hAnsi="Times New Roman" w:cs="Times New Roman"/>
          <w:i/>
          <w:sz w:val="20"/>
          <w:szCs w:val="20"/>
        </w:rPr>
        <w:t>available at</w:t>
      </w:r>
      <w:r w:rsidRPr="00B915CA">
        <w:rPr>
          <w:rFonts w:ascii="Times New Roman" w:hAnsi="Times New Roman" w:cs="Times New Roman"/>
          <w:sz w:val="20"/>
          <w:szCs w:val="20"/>
        </w:rPr>
        <w:t xml:space="preserve"> </w:t>
      </w:r>
      <w:hyperlink r:id="rId2" w:history="1">
        <w:r w:rsidRPr="001073A8">
          <w:rPr>
            <w:rStyle w:val="Hyperlink"/>
            <w:rFonts w:ascii="Times New Roman" w:hAnsi="Times New Roman"/>
            <w:sz w:val="20"/>
            <w:szCs w:val="20"/>
          </w:rPr>
          <w:t>http://contracts.onecle.com/apple/scis.mfg.1996.05.31.shtml</w:t>
        </w:r>
      </w:hyperlink>
      <w:r w:rsidRPr="00B915CA">
        <w:rPr>
          <w:rFonts w:ascii="Times New Roman" w:hAnsi="Times New Roman" w:cs="Times New Roman"/>
          <w:sz w:val="20"/>
          <w:szCs w:val="20"/>
        </w:rPr>
        <w:t>:</w:t>
      </w:r>
    </w:p>
    <w:p w14:paraId="3D5FC4DE" w14:textId="77777777" w:rsidR="00A1412B" w:rsidRPr="00B915CA" w:rsidRDefault="00A1412B" w:rsidP="00B915CA">
      <w:pPr>
        <w:ind w:firstLine="720"/>
        <w:rPr>
          <w:rFonts w:ascii="Times New Roman" w:hAnsi="Times New Roman" w:cs="Times New Roman"/>
          <w:sz w:val="20"/>
          <w:szCs w:val="20"/>
        </w:rPr>
      </w:pPr>
    </w:p>
    <w:p w14:paraId="099E5189" w14:textId="77777777" w:rsidR="00A1412B" w:rsidRPr="00B915CA" w:rsidRDefault="00A1412B" w:rsidP="00B915CA">
      <w:pPr>
        <w:ind w:left="720"/>
        <w:rPr>
          <w:rFonts w:ascii="Times New Roman" w:hAnsi="Times New Roman" w:cs="Times New Roman"/>
          <w:sz w:val="20"/>
          <w:szCs w:val="20"/>
        </w:rPr>
      </w:pPr>
      <w:r w:rsidRPr="00B915CA">
        <w:rPr>
          <w:rFonts w:ascii="Times New Roman" w:hAnsi="Times New Roman" w:cs="Times New Roman"/>
          <w:sz w:val="20"/>
          <w:szCs w:val="20"/>
        </w:rPr>
        <w:t>PURPOSE</w:t>
      </w:r>
    </w:p>
    <w:p w14:paraId="19AA9E82" w14:textId="77777777" w:rsidR="00A1412B" w:rsidRPr="00B915CA" w:rsidRDefault="00A1412B" w:rsidP="00B915CA">
      <w:pPr>
        <w:ind w:left="720"/>
        <w:rPr>
          <w:rFonts w:ascii="Times New Roman" w:hAnsi="Times New Roman" w:cs="Times New Roman"/>
          <w:sz w:val="20"/>
          <w:szCs w:val="20"/>
        </w:rPr>
      </w:pPr>
      <w:r w:rsidRPr="00B915CA">
        <w:rPr>
          <w:rFonts w:ascii="Times New Roman" w:hAnsi="Times New Roman" w:cs="Times New Roman"/>
          <w:sz w:val="20"/>
          <w:szCs w:val="20"/>
        </w:rPr>
        <w:t xml:space="preserve">Apple and SCI entered into a Stock Purchase Agreement on April 4, 1996 (the “Stock Purchase Agreement”) pursuant to which SCI will purchase Apple’s manufacturing facility located at 702 </w:t>
      </w:r>
      <w:proofErr w:type="spellStart"/>
      <w:r w:rsidRPr="00B915CA">
        <w:rPr>
          <w:rFonts w:ascii="Times New Roman" w:hAnsi="Times New Roman" w:cs="Times New Roman"/>
          <w:sz w:val="20"/>
          <w:szCs w:val="20"/>
        </w:rPr>
        <w:t>Bandley</w:t>
      </w:r>
      <w:proofErr w:type="spellEnd"/>
      <w:r w:rsidRPr="00B915CA">
        <w:rPr>
          <w:rFonts w:ascii="Times New Roman" w:hAnsi="Times New Roman" w:cs="Times New Roman"/>
          <w:sz w:val="20"/>
          <w:szCs w:val="20"/>
        </w:rPr>
        <w:t xml:space="preserve"> Drive, Fountain, Colorado (“Fountain”) and certain related assets.</w:t>
      </w:r>
    </w:p>
    <w:p w14:paraId="418F9B5F" w14:textId="77777777" w:rsidR="00A1412B" w:rsidRPr="00B915CA" w:rsidRDefault="00A1412B" w:rsidP="00B915CA">
      <w:pPr>
        <w:ind w:left="720"/>
        <w:rPr>
          <w:rFonts w:ascii="Times New Roman" w:hAnsi="Times New Roman" w:cs="Times New Roman"/>
          <w:sz w:val="20"/>
          <w:szCs w:val="20"/>
        </w:rPr>
      </w:pPr>
      <w:r w:rsidRPr="00B915CA">
        <w:rPr>
          <w:rFonts w:ascii="Times New Roman" w:hAnsi="Times New Roman" w:cs="Times New Roman"/>
          <w:sz w:val="20"/>
          <w:szCs w:val="20"/>
        </w:rPr>
        <w:t xml:space="preserve">The parties desire that Apple engage SCI to assemble, test and </w:t>
      </w:r>
      <w:proofErr w:type="gramStart"/>
      <w:r w:rsidRPr="00B915CA">
        <w:rPr>
          <w:rFonts w:ascii="Times New Roman" w:hAnsi="Times New Roman" w:cs="Times New Roman"/>
          <w:sz w:val="20"/>
          <w:szCs w:val="20"/>
        </w:rPr>
        <w:t>package  certain</w:t>
      </w:r>
      <w:proofErr w:type="gramEnd"/>
      <w:r w:rsidRPr="00B915CA">
        <w:rPr>
          <w:rFonts w:ascii="Times New Roman" w:hAnsi="Times New Roman" w:cs="Times New Roman"/>
          <w:sz w:val="20"/>
          <w:szCs w:val="20"/>
        </w:rPr>
        <w:t xml:space="preserve"> Products, Service Units and Spare Parts, as defined below, on a turnkey basis at Fountain on the terms and conditions of this Agreement.</w:t>
      </w:r>
    </w:p>
    <w:p w14:paraId="3D48638E" w14:textId="1B9BB5CA" w:rsidR="00A1412B" w:rsidRPr="00B915CA" w:rsidRDefault="00A1412B" w:rsidP="00B915CA">
      <w:pPr>
        <w:ind w:left="720"/>
        <w:rPr>
          <w:rFonts w:ascii="Times New Roman" w:hAnsi="Times New Roman" w:cs="Times New Roman"/>
          <w:sz w:val="20"/>
          <w:szCs w:val="20"/>
        </w:rPr>
      </w:pPr>
      <w:r w:rsidRPr="00B915CA">
        <w:rPr>
          <w:rFonts w:ascii="Times New Roman" w:hAnsi="Times New Roman" w:cs="Times New Roman"/>
          <w:sz w:val="20"/>
          <w:szCs w:val="20"/>
        </w:rPr>
        <w:t xml:space="preserve">This Agreement defines the general terms and conditions governing all transactions between them for Products, Service Units and Spare Parts manufactured at Fountain.  Individual “Product Plans” attached as Addenda to this Agreement, and incorporated herein by </w:t>
      </w:r>
      <w:proofErr w:type="gramStart"/>
      <w:r w:rsidRPr="00B915CA">
        <w:rPr>
          <w:rFonts w:ascii="Times New Roman" w:hAnsi="Times New Roman" w:cs="Times New Roman"/>
          <w:sz w:val="20"/>
          <w:szCs w:val="20"/>
        </w:rPr>
        <w:t>reference,</w:t>
      </w:r>
      <w:proofErr w:type="gramEnd"/>
      <w:r w:rsidRPr="00B915CA">
        <w:rPr>
          <w:rFonts w:ascii="Times New Roman" w:hAnsi="Times New Roman" w:cs="Times New Roman"/>
          <w:sz w:val="20"/>
          <w:szCs w:val="20"/>
        </w:rPr>
        <w:t xml:space="preserve"> define the specific terms and conditions for each Product, Service Unit and/or Spare Part.  The initial Product Plans are attached to Exhibit A and numbered A-1 through A-11.</w:t>
      </w:r>
    </w:p>
    <w:p w14:paraId="1D200279" w14:textId="77777777" w:rsidR="00A1412B" w:rsidRPr="00B915CA" w:rsidRDefault="00A1412B" w:rsidP="00B915CA">
      <w:pPr>
        <w:ind w:left="720"/>
        <w:rPr>
          <w:rFonts w:ascii="Times New Roman" w:hAnsi="Times New Roman" w:cs="Times New Roman"/>
          <w:sz w:val="20"/>
          <w:szCs w:val="20"/>
        </w:rPr>
      </w:pPr>
      <w:r w:rsidRPr="00B915CA">
        <w:rPr>
          <w:rFonts w:ascii="Times New Roman" w:hAnsi="Times New Roman" w:cs="Times New Roman"/>
          <w:sz w:val="20"/>
          <w:szCs w:val="20"/>
        </w:rPr>
        <w:t>Additional Products and Product Plans may be added to this Agreement by addenda to Exhibit A signed by both parties.  Such addenda will be numbered sequentially, A-12, A-13 and so on.</w:t>
      </w:r>
    </w:p>
    <w:p w14:paraId="004C29E1" w14:textId="5C52D016" w:rsidR="00A1412B" w:rsidRDefault="00A1412B" w:rsidP="00B915CA">
      <w:pPr>
        <w:ind w:left="720"/>
        <w:rPr>
          <w:rFonts w:ascii="Times New Roman" w:hAnsi="Times New Roman" w:cs="Times New Roman"/>
          <w:sz w:val="20"/>
          <w:szCs w:val="20"/>
        </w:rPr>
      </w:pPr>
      <w:r w:rsidRPr="00B915CA">
        <w:rPr>
          <w:rFonts w:ascii="Times New Roman" w:hAnsi="Times New Roman" w:cs="Times New Roman"/>
          <w:sz w:val="20"/>
          <w:szCs w:val="20"/>
        </w:rPr>
        <w:t>In consideration of the above and the mutual promises contained herein,</w:t>
      </w:r>
      <w:r>
        <w:rPr>
          <w:rFonts w:ascii="Times New Roman" w:hAnsi="Times New Roman" w:cs="Times New Roman"/>
          <w:sz w:val="20"/>
          <w:szCs w:val="20"/>
        </w:rPr>
        <w:t xml:space="preserve"> Apple and SCI agree as follows…</w:t>
      </w:r>
    </w:p>
    <w:p w14:paraId="7005B202" w14:textId="77777777" w:rsidR="00A1412B" w:rsidRPr="00B915CA" w:rsidRDefault="00A1412B" w:rsidP="00B915CA">
      <w:pPr>
        <w:ind w:left="720"/>
        <w:rPr>
          <w:rFonts w:ascii="Times New Roman" w:hAnsi="Times New Roman" w:cs="Times New Roman"/>
          <w:sz w:val="20"/>
          <w:szCs w:val="20"/>
        </w:rPr>
      </w:pPr>
    </w:p>
  </w:footnote>
  <w:footnote w:id="49">
    <w:p w14:paraId="0920D5F5" w14:textId="3119CE9A" w:rsidR="00A1412B" w:rsidRPr="00B915CA" w:rsidRDefault="00A1412B" w:rsidP="00B915CA">
      <w:pPr>
        <w:ind w:firstLine="720"/>
        <w:rPr>
          <w:rFonts w:ascii="Times New Roman" w:hAnsi="Times New Roman" w:cs="Times New Roman"/>
          <w:sz w:val="20"/>
          <w:szCs w:val="20"/>
        </w:rPr>
      </w:pPr>
      <w:r w:rsidRPr="00B915CA">
        <w:rPr>
          <w:rStyle w:val="FootnoteReference"/>
          <w:rFonts w:ascii="Times New Roman" w:hAnsi="Times New Roman"/>
          <w:sz w:val="20"/>
          <w:szCs w:val="20"/>
        </w:rPr>
        <w:footnoteRef/>
      </w:r>
      <w:r w:rsidRPr="00B915CA">
        <w:rPr>
          <w:rFonts w:ascii="Times New Roman" w:hAnsi="Times New Roman" w:cs="Times New Roman"/>
          <w:sz w:val="20"/>
          <w:szCs w:val="20"/>
        </w:rPr>
        <w:t xml:space="preserve"> </w:t>
      </w:r>
      <w:proofErr w:type="gramStart"/>
      <w:r w:rsidRPr="00B915CA">
        <w:rPr>
          <w:rFonts w:ascii="Times New Roman" w:hAnsi="Times New Roman" w:cs="Times New Roman"/>
          <w:i/>
          <w:sz w:val="20"/>
          <w:szCs w:val="20"/>
        </w:rPr>
        <w:t>See, e.g.</w:t>
      </w:r>
      <w:r w:rsidRPr="00B915CA">
        <w:rPr>
          <w:rFonts w:ascii="Times New Roman" w:hAnsi="Times New Roman" w:cs="Times New Roman"/>
          <w:sz w:val="20"/>
          <w:szCs w:val="20"/>
        </w:rPr>
        <w:t>, Data Management Outsourcing Agreement Between Allstate Insurance Company and Acxiom Corporation, Art.</w:t>
      </w:r>
      <w:proofErr w:type="gramEnd"/>
      <w:r w:rsidRPr="00B915CA">
        <w:rPr>
          <w:rFonts w:ascii="Times New Roman" w:hAnsi="Times New Roman" w:cs="Times New Roman"/>
          <w:sz w:val="20"/>
          <w:szCs w:val="20"/>
        </w:rPr>
        <w:t xml:space="preserve"> 2. DEFINITIONS (defining 34 technical or non-standard meanings including specialized meanings of “Agreement,” “Confidential Information,” “Data Integrity,” “Current Projects,” “Affiliate,” “End-User,” “Material Default,” “Party,” “Person,” “Problem,” “Term,”‘ “Work Order,” and “Work Product”), </w:t>
      </w:r>
      <w:r w:rsidRPr="00B915CA">
        <w:rPr>
          <w:rFonts w:ascii="Times New Roman" w:hAnsi="Times New Roman" w:cs="Times New Roman"/>
          <w:i/>
          <w:sz w:val="20"/>
          <w:szCs w:val="20"/>
        </w:rPr>
        <w:t>available at</w:t>
      </w:r>
      <w:r w:rsidRPr="00B915CA">
        <w:rPr>
          <w:rFonts w:ascii="Times New Roman" w:hAnsi="Times New Roman" w:cs="Times New Roman"/>
          <w:sz w:val="20"/>
          <w:szCs w:val="20"/>
        </w:rPr>
        <w:t xml:space="preserve"> http://contracts.onecle.com/acxiom/allstate.outsource.1999.03.19.shtml.</w:t>
      </w:r>
      <w:r w:rsidRPr="00B915CA">
        <w:rPr>
          <w:rFonts w:ascii="Times New Roman" w:hAnsi="Times New Roman" w:cs="Times New Roman"/>
          <w:sz w:val="20"/>
          <w:szCs w:val="20"/>
        </w:rPr>
        <w:tab/>
      </w:r>
    </w:p>
    <w:p w14:paraId="221595A0" w14:textId="77777777" w:rsidR="00A1412B" w:rsidRPr="00B915CA" w:rsidRDefault="00A1412B" w:rsidP="00B915CA">
      <w:pPr>
        <w:rPr>
          <w:rFonts w:ascii="Times New Roman" w:hAnsi="Times New Roman" w:cs="Times New Roman"/>
          <w:sz w:val="20"/>
          <w:szCs w:val="20"/>
        </w:rPr>
      </w:pPr>
    </w:p>
  </w:footnote>
  <w:footnote w:id="50">
    <w:p w14:paraId="7604949B" w14:textId="2EB6164B" w:rsidR="00A1412B" w:rsidRPr="00B915CA" w:rsidRDefault="00A1412B" w:rsidP="00B915CA">
      <w:pPr>
        <w:rPr>
          <w:rFonts w:ascii="Times New Roman" w:hAnsi="Times New Roman" w:cs="Times New Roman"/>
          <w:sz w:val="20"/>
          <w:szCs w:val="20"/>
        </w:rPr>
      </w:pPr>
      <w:r>
        <w:rPr>
          <w:rFonts w:ascii="Times New Roman" w:hAnsi="Times New Roman" w:cs="Times New Roman"/>
          <w:sz w:val="20"/>
          <w:szCs w:val="20"/>
        </w:rPr>
        <w:tab/>
      </w:r>
      <w:r w:rsidRPr="00B915CA">
        <w:rPr>
          <w:rFonts w:ascii="Times New Roman" w:hAnsi="Times New Roman" w:cs="Times New Roman"/>
          <w:sz w:val="20"/>
          <w:szCs w:val="20"/>
        </w:rPr>
        <w:t xml:space="preserve"> </w:t>
      </w:r>
      <w:r w:rsidRPr="00B915CA">
        <w:rPr>
          <w:rStyle w:val="FootnoteReference"/>
          <w:rFonts w:ascii="Times New Roman" w:hAnsi="Times New Roman"/>
          <w:sz w:val="20"/>
          <w:szCs w:val="20"/>
        </w:rPr>
        <w:footnoteRef/>
      </w:r>
      <w:r w:rsidRPr="00B915CA">
        <w:rPr>
          <w:rFonts w:ascii="Times New Roman" w:hAnsi="Times New Roman" w:cs="Times New Roman"/>
          <w:sz w:val="20"/>
          <w:szCs w:val="20"/>
        </w:rPr>
        <w:t xml:space="preserve"> </w:t>
      </w:r>
      <w:proofErr w:type="gramStart"/>
      <w:r w:rsidRPr="00B915CA">
        <w:rPr>
          <w:rFonts w:ascii="Times New Roman" w:hAnsi="Times New Roman" w:cs="Times New Roman"/>
          <w:i/>
          <w:sz w:val="20"/>
          <w:szCs w:val="20"/>
        </w:rPr>
        <w:t>See e.g.</w:t>
      </w:r>
      <w:r w:rsidRPr="00B915CA">
        <w:rPr>
          <w:rFonts w:ascii="Times New Roman" w:hAnsi="Times New Roman" w:cs="Times New Roman"/>
          <w:sz w:val="20"/>
          <w:szCs w:val="20"/>
        </w:rPr>
        <w:t xml:space="preserve">, Apple/SCI Manufacturing Agreement, </w:t>
      </w:r>
      <w:r w:rsidRPr="00B915CA">
        <w:rPr>
          <w:rFonts w:ascii="Times New Roman" w:hAnsi="Times New Roman" w:cs="Times New Roman"/>
          <w:i/>
          <w:iCs/>
          <w:sz w:val="20"/>
          <w:szCs w:val="20"/>
        </w:rPr>
        <w:t>supra</w:t>
      </w:r>
      <w:r w:rsidRPr="00B915CA">
        <w:rPr>
          <w:rFonts w:ascii="Times New Roman" w:hAnsi="Times New Roman" w:cs="Times New Roman"/>
          <w:sz w:val="20"/>
          <w:szCs w:val="20"/>
        </w:rPr>
        <w:t xml:space="preserve"> note ---, at Art.</w:t>
      </w:r>
      <w:proofErr w:type="gramEnd"/>
      <w:r w:rsidRPr="00B915CA">
        <w:rPr>
          <w:rFonts w:ascii="Times New Roman" w:hAnsi="Times New Roman" w:cs="Times New Roman"/>
          <w:sz w:val="20"/>
          <w:szCs w:val="20"/>
        </w:rPr>
        <w:t xml:space="preserve"> </w:t>
      </w:r>
      <w:proofErr w:type="gramStart"/>
      <w:r w:rsidRPr="00B915CA">
        <w:rPr>
          <w:rFonts w:ascii="Times New Roman" w:hAnsi="Times New Roman" w:cs="Times New Roman"/>
          <w:sz w:val="20"/>
          <w:szCs w:val="20"/>
        </w:rPr>
        <w:t>22 (providing a list of general terms ranging from the relationship of the parties to complete agreement).</w:t>
      </w:r>
      <w:proofErr w:type="gramEnd"/>
    </w:p>
    <w:p w14:paraId="6B5CA7B1" w14:textId="1FAC932B" w:rsidR="00A1412B" w:rsidRPr="00B915CA" w:rsidRDefault="00A1412B" w:rsidP="00B915CA">
      <w:pPr>
        <w:rPr>
          <w:rFonts w:ascii="Times New Roman" w:hAnsi="Times New Roman" w:cs="Times New Roman"/>
          <w:sz w:val="20"/>
          <w:szCs w:val="20"/>
        </w:rPr>
      </w:pPr>
    </w:p>
  </w:footnote>
  <w:footnote w:id="51">
    <w:p w14:paraId="550760F1" w14:textId="33A62D78" w:rsidR="00A1412B" w:rsidRDefault="00A1412B" w:rsidP="00B83A75">
      <w:pPr>
        <w:pStyle w:val="FootnoteText"/>
        <w:spacing w:line="240" w:lineRule="auto"/>
        <w:rPr>
          <w:sz w:val="20"/>
          <w:szCs w:val="20"/>
        </w:rPr>
      </w:pPr>
      <w:r w:rsidRPr="00B50BE5">
        <w:rPr>
          <w:rStyle w:val="FootnoteReference"/>
          <w:sz w:val="20"/>
          <w:szCs w:val="20"/>
        </w:rPr>
        <w:footnoteRef/>
      </w:r>
      <w:r w:rsidRPr="00B50BE5">
        <w:rPr>
          <w:sz w:val="20"/>
          <w:szCs w:val="20"/>
        </w:rPr>
        <w:t xml:space="preserve"> F</w:t>
      </w:r>
      <w:r>
        <w:rPr>
          <w:sz w:val="20"/>
          <w:szCs w:val="20"/>
        </w:rPr>
        <w:t xml:space="preserve">or discussion, see Alan Schwartz &amp; Robert E. Scott, </w:t>
      </w:r>
      <w:r>
        <w:rPr>
          <w:i/>
          <w:sz w:val="20"/>
          <w:szCs w:val="20"/>
        </w:rPr>
        <w:t xml:space="preserve">Contract Interpretation </w:t>
      </w:r>
      <w:proofErr w:type="spellStart"/>
      <w:r>
        <w:rPr>
          <w:i/>
          <w:sz w:val="20"/>
          <w:szCs w:val="20"/>
        </w:rPr>
        <w:t>Redux</w:t>
      </w:r>
      <w:proofErr w:type="spellEnd"/>
      <w:r>
        <w:rPr>
          <w:i/>
          <w:sz w:val="20"/>
          <w:szCs w:val="20"/>
        </w:rPr>
        <w:t xml:space="preserve">, </w:t>
      </w:r>
      <w:r>
        <w:rPr>
          <w:sz w:val="20"/>
          <w:szCs w:val="20"/>
        </w:rPr>
        <w:t>119 Yale L. J. 926, 952-55 (2010).</w:t>
      </w:r>
    </w:p>
    <w:p w14:paraId="717078E1" w14:textId="77777777" w:rsidR="00A1412B" w:rsidRPr="00B83A75" w:rsidRDefault="00A1412B" w:rsidP="00B83A75">
      <w:pPr>
        <w:pStyle w:val="FootnoteText"/>
        <w:spacing w:line="240" w:lineRule="auto"/>
        <w:rPr>
          <w:sz w:val="20"/>
          <w:szCs w:val="20"/>
        </w:rPr>
      </w:pPr>
    </w:p>
  </w:footnote>
  <w:footnote w:id="52">
    <w:p w14:paraId="51598CAA" w14:textId="77777777" w:rsidR="00A1412B" w:rsidRDefault="00A1412B" w:rsidP="00B83A75">
      <w:pPr>
        <w:pStyle w:val="FootnoteText"/>
        <w:spacing w:line="240" w:lineRule="auto"/>
        <w:rPr>
          <w:sz w:val="20"/>
          <w:szCs w:val="20"/>
        </w:rPr>
      </w:pPr>
      <w:r w:rsidRPr="00B83A75">
        <w:rPr>
          <w:rStyle w:val="FootnoteReference"/>
          <w:sz w:val="20"/>
          <w:szCs w:val="20"/>
        </w:rPr>
        <w:footnoteRef/>
      </w:r>
      <w:r w:rsidRPr="00B83A75">
        <w:rPr>
          <w:sz w:val="20"/>
          <w:szCs w:val="20"/>
        </w:rPr>
        <w:t xml:space="preserve"> For discussion see Charles J. Goetz &amp; Robert E. Scott, </w:t>
      </w:r>
      <w:r w:rsidRPr="00B83A75">
        <w:rPr>
          <w:i/>
          <w:sz w:val="20"/>
          <w:szCs w:val="20"/>
        </w:rPr>
        <w:t xml:space="preserve">Principles of Relational Contracts, </w:t>
      </w:r>
      <w:r w:rsidRPr="00B83A75">
        <w:rPr>
          <w:sz w:val="20"/>
          <w:szCs w:val="20"/>
        </w:rPr>
        <w:t>67 Va. L. Rev. 1089, 1092-95 (1981).</w:t>
      </w:r>
    </w:p>
    <w:p w14:paraId="331345B3" w14:textId="77777777" w:rsidR="00A1412B" w:rsidRPr="00B83A75" w:rsidRDefault="00A1412B" w:rsidP="00B83A75">
      <w:pPr>
        <w:pStyle w:val="FootnoteText"/>
        <w:spacing w:line="240" w:lineRule="auto"/>
        <w:rPr>
          <w:sz w:val="20"/>
          <w:szCs w:val="20"/>
        </w:rPr>
      </w:pPr>
    </w:p>
  </w:footnote>
  <w:footnote w:id="53">
    <w:p w14:paraId="7DA41B7C" w14:textId="523936F4" w:rsidR="00A1412B" w:rsidRPr="00D63CEA" w:rsidRDefault="00A1412B" w:rsidP="00B83A75">
      <w:pPr>
        <w:pStyle w:val="FootnoteText"/>
        <w:spacing w:line="240" w:lineRule="auto"/>
        <w:rPr>
          <w:sz w:val="20"/>
          <w:szCs w:val="20"/>
        </w:rPr>
      </w:pPr>
      <w:r>
        <w:rPr>
          <w:rStyle w:val="FootnoteReference"/>
        </w:rPr>
        <w:footnoteRef/>
      </w:r>
      <w:r>
        <w:t xml:space="preserve"> </w:t>
      </w:r>
      <w:r w:rsidRPr="00B83A75">
        <w:rPr>
          <w:sz w:val="20"/>
          <w:szCs w:val="20"/>
        </w:rPr>
        <w:t>Scott &amp; Triantis,</w:t>
      </w:r>
      <w:r w:rsidRPr="00B83A75">
        <w:rPr>
          <w:i/>
          <w:sz w:val="20"/>
          <w:szCs w:val="20"/>
        </w:rPr>
        <w:t xml:space="preserve"> Anticipating Litigation in Contract Design, </w:t>
      </w:r>
      <w:r>
        <w:rPr>
          <w:sz w:val="20"/>
          <w:szCs w:val="20"/>
        </w:rPr>
        <w:t>supra note ---.</w:t>
      </w:r>
    </w:p>
    <w:p w14:paraId="6EFB3E55" w14:textId="2545480A" w:rsidR="00A1412B" w:rsidRPr="00B83A75" w:rsidRDefault="00A1412B" w:rsidP="00B83A75">
      <w:pPr>
        <w:pStyle w:val="FootnoteText"/>
        <w:spacing w:line="240" w:lineRule="auto"/>
        <w:rPr>
          <w:sz w:val="20"/>
          <w:szCs w:val="20"/>
        </w:rPr>
      </w:pPr>
    </w:p>
  </w:footnote>
  <w:footnote w:id="54">
    <w:p w14:paraId="56B8FB0E" w14:textId="0E7168D9" w:rsidR="00A1412B" w:rsidRPr="00E44BD1" w:rsidRDefault="00A1412B" w:rsidP="00E44BD1">
      <w:pPr>
        <w:rPr>
          <w:rFonts w:ascii="Times New Roman" w:hAnsi="Times New Roman" w:cs="Times New Roman"/>
          <w:sz w:val="20"/>
          <w:szCs w:val="20"/>
        </w:rPr>
      </w:pPr>
      <w:r>
        <w:rPr>
          <w:rStyle w:val="FootnoteReference"/>
        </w:rPr>
        <w:footnoteRef/>
      </w:r>
      <w:r>
        <w:t xml:space="preserve"> </w:t>
      </w:r>
      <w:r w:rsidRPr="00E44BD1">
        <w:rPr>
          <w:rFonts w:ascii="Times New Roman" w:hAnsi="Times New Roman" w:cs="Times New Roman"/>
          <w:sz w:val="20"/>
          <w:szCs w:val="20"/>
        </w:rPr>
        <w:t>Under</w:t>
      </w:r>
      <w:r>
        <w:rPr>
          <w:rFonts w:ascii="Times New Roman" w:hAnsi="Times New Roman" w:cs="Times New Roman"/>
          <w:sz w:val="20"/>
          <w:szCs w:val="20"/>
        </w:rPr>
        <w:t xml:space="preserve"> these</w:t>
      </w:r>
      <w:r w:rsidRPr="00E44BD1">
        <w:rPr>
          <w:rFonts w:ascii="Times New Roman" w:hAnsi="Times New Roman" w:cs="Times New Roman"/>
          <w:sz w:val="20"/>
          <w:szCs w:val="20"/>
        </w:rPr>
        <w:t xml:space="preserve"> conditions of </w:t>
      </w:r>
      <w:r>
        <w:rPr>
          <w:rFonts w:ascii="Times New Roman" w:hAnsi="Times New Roman" w:cs="Times New Roman"/>
          <w:sz w:val="20"/>
          <w:szCs w:val="20"/>
        </w:rPr>
        <w:t xml:space="preserve">moderate </w:t>
      </w:r>
      <w:r w:rsidRPr="00E44BD1">
        <w:rPr>
          <w:rFonts w:ascii="Times New Roman" w:hAnsi="Times New Roman" w:cs="Times New Roman"/>
          <w:sz w:val="20"/>
          <w:szCs w:val="20"/>
        </w:rPr>
        <w:t xml:space="preserve">uncertainty, parties predictably seek to optimize total contracting costs by trading off the respective benefits and costs of commitment and flexibility. They can do this by shifting costs between the front and back end—the two stages--of the contracting process. When the parties agree, for instance, to use their best efforts or to behave in a commercially reasonable manner, the subsequent adjudication of contractual disputes concerning their efforts or behavior requires a court to give precise meaning to those vague phrases.  Thus, by using </w:t>
      </w:r>
      <w:r>
        <w:rPr>
          <w:rFonts w:ascii="Times New Roman" w:hAnsi="Times New Roman" w:cs="Times New Roman"/>
          <w:sz w:val="20"/>
          <w:szCs w:val="20"/>
        </w:rPr>
        <w:t>standards such as these</w:t>
      </w:r>
      <w:r w:rsidRPr="00E44BD1">
        <w:rPr>
          <w:rFonts w:ascii="Times New Roman" w:hAnsi="Times New Roman" w:cs="Times New Roman"/>
          <w:sz w:val="20"/>
          <w:szCs w:val="20"/>
        </w:rPr>
        <w:t xml:space="preserve">, parties delegate the specification of performance requirements to a court at the back end of the contracting process. The parties must bear the expected costs of litigation (including the costs of </w:t>
      </w:r>
      <w:r>
        <w:rPr>
          <w:rFonts w:ascii="Times New Roman" w:hAnsi="Times New Roman" w:cs="Times New Roman"/>
          <w:sz w:val="20"/>
          <w:szCs w:val="20"/>
        </w:rPr>
        <w:t xml:space="preserve">shading </w:t>
      </w:r>
      <w:r w:rsidRPr="00E44BD1">
        <w:rPr>
          <w:rFonts w:ascii="Times New Roman" w:hAnsi="Times New Roman" w:cs="Times New Roman"/>
          <w:sz w:val="20"/>
          <w:szCs w:val="20"/>
        </w:rPr>
        <w:t>in its conduct).  But because a court has the benefit of some information unavailable to the parties at the time of formation, adjudication potentially allows them to benefit from more efficient performance standards than they could have specified ex ante.</w:t>
      </w:r>
    </w:p>
    <w:p w14:paraId="0AB78E4B" w14:textId="2C01DC9F" w:rsidR="00A1412B" w:rsidRPr="00E44BD1" w:rsidRDefault="00A1412B" w:rsidP="00E44BD1">
      <w:pPr>
        <w:rPr>
          <w:rFonts w:ascii="Times New Roman" w:hAnsi="Times New Roman" w:cs="Times New Roman"/>
          <w:sz w:val="20"/>
          <w:szCs w:val="20"/>
        </w:rPr>
      </w:pPr>
      <w:proofErr w:type="gramStart"/>
      <w:r w:rsidRPr="00E44BD1">
        <w:rPr>
          <w:rFonts w:ascii="Times New Roman" w:hAnsi="Times New Roman" w:cs="Times New Roman"/>
          <w:sz w:val="20"/>
          <w:szCs w:val="20"/>
        </w:rPr>
        <w:t>The parties thus tradeoff the benefits of ex ante precision (with resulting ex post inefficiency) against the hindsight advantage of the court in later litigation tempered by the moral hazard costs inherent in the process.</w:t>
      </w:r>
      <w:proofErr w:type="gramEnd"/>
      <w:r>
        <w:rPr>
          <w:rFonts w:ascii="Times New Roman" w:hAnsi="Times New Roman" w:cs="Times New Roman"/>
          <w:sz w:val="20"/>
          <w:szCs w:val="20"/>
        </w:rPr>
        <w:t xml:space="preserve">  Gilson, </w:t>
      </w:r>
      <w:proofErr w:type="spellStart"/>
      <w:r>
        <w:rPr>
          <w:rFonts w:ascii="Times New Roman" w:hAnsi="Times New Roman" w:cs="Times New Roman"/>
          <w:sz w:val="20"/>
          <w:szCs w:val="20"/>
        </w:rPr>
        <w:t>Sabel</w:t>
      </w:r>
      <w:proofErr w:type="spellEnd"/>
      <w:r>
        <w:rPr>
          <w:rFonts w:ascii="Times New Roman" w:hAnsi="Times New Roman" w:cs="Times New Roman"/>
          <w:sz w:val="20"/>
          <w:szCs w:val="20"/>
        </w:rPr>
        <w:t xml:space="preserve"> &amp; Scott, </w:t>
      </w:r>
      <w:r>
        <w:rPr>
          <w:rFonts w:ascii="Times New Roman" w:hAnsi="Times New Roman" w:cs="Times New Roman"/>
          <w:i/>
          <w:sz w:val="20"/>
          <w:szCs w:val="20"/>
        </w:rPr>
        <w:t xml:space="preserve">Contracting for Innovation, </w:t>
      </w:r>
      <w:r>
        <w:rPr>
          <w:rFonts w:ascii="Times New Roman" w:hAnsi="Times New Roman" w:cs="Times New Roman"/>
          <w:sz w:val="20"/>
          <w:szCs w:val="20"/>
        </w:rPr>
        <w:t>supra note 9 at 454.</w:t>
      </w:r>
    </w:p>
    <w:p w14:paraId="3BA03D29" w14:textId="77777777" w:rsidR="00A1412B" w:rsidRPr="00E44BD1" w:rsidRDefault="00A1412B" w:rsidP="00E44BD1">
      <w:pPr>
        <w:rPr>
          <w:rFonts w:ascii="Times New Roman" w:hAnsi="Times New Roman" w:cs="Times New Roman"/>
          <w:sz w:val="20"/>
          <w:szCs w:val="20"/>
        </w:rPr>
      </w:pPr>
    </w:p>
  </w:footnote>
  <w:footnote w:id="55">
    <w:p w14:paraId="7BF24BFA" w14:textId="66D69E73" w:rsidR="00A1412B" w:rsidRDefault="00A1412B" w:rsidP="00B83A75">
      <w:pPr>
        <w:pStyle w:val="FootnoteText"/>
        <w:spacing w:line="240" w:lineRule="auto"/>
        <w:rPr>
          <w:sz w:val="20"/>
          <w:szCs w:val="20"/>
        </w:rPr>
      </w:pPr>
      <w:r w:rsidRPr="00B83A75">
        <w:rPr>
          <w:rStyle w:val="FootnoteReference"/>
          <w:sz w:val="20"/>
          <w:szCs w:val="20"/>
        </w:rPr>
        <w:footnoteRef/>
      </w:r>
      <w:r w:rsidRPr="00B83A75">
        <w:rPr>
          <w:sz w:val="20"/>
          <w:szCs w:val="20"/>
        </w:rPr>
        <w:t xml:space="preserve">  The inability of the party seeking enforcement of the </w:t>
      </w:r>
      <w:proofErr w:type="gramStart"/>
      <w:r w:rsidRPr="00B83A75">
        <w:rPr>
          <w:sz w:val="20"/>
          <w:szCs w:val="20"/>
        </w:rPr>
        <w:t xml:space="preserve">contract’s </w:t>
      </w:r>
      <w:r>
        <w:rPr>
          <w:sz w:val="20"/>
          <w:szCs w:val="20"/>
        </w:rPr>
        <w:t xml:space="preserve"> </w:t>
      </w:r>
      <w:r w:rsidRPr="00B83A75">
        <w:rPr>
          <w:sz w:val="20"/>
          <w:szCs w:val="20"/>
        </w:rPr>
        <w:t>terms</w:t>
      </w:r>
      <w:proofErr w:type="gramEnd"/>
      <w:r w:rsidRPr="00B83A75">
        <w:rPr>
          <w:sz w:val="20"/>
          <w:szCs w:val="20"/>
        </w:rPr>
        <w:t xml:space="preserve">  to observe the counterparty’s costs (or use any reliable proxy to check claimed increases) gives the putative </w:t>
      </w:r>
      <w:proofErr w:type="spellStart"/>
      <w:r w:rsidRPr="00B83A75">
        <w:rPr>
          <w:sz w:val="20"/>
          <w:szCs w:val="20"/>
        </w:rPr>
        <w:t>shader</w:t>
      </w:r>
      <w:proofErr w:type="spellEnd"/>
      <w:r w:rsidRPr="00B83A75">
        <w:rPr>
          <w:sz w:val="20"/>
          <w:szCs w:val="20"/>
        </w:rPr>
        <w:t xml:space="preserve"> an even greater incentive to claim hardship under the contract terms, even when there was none, to capture more of the contractual surplus.  Thus</w:t>
      </w:r>
      <w:r>
        <w:rPr>
          <w:sz w:val="20"/>
          <w:szCs w:val="20"/>
        </w:rPr>
        <w:t>,</w:t>
      </w:r>
      <w:r w:rsidRPr="00B83A75">
        <w:rPr>
          <w:sz w:val="20"/>
          <w:szCs w:val="20"/>
        </w:rPr>
        <w:t xml:space="preserve"> a contract that uses broad standards but does not attempt to constrain the court’s discretion is inefficient</w:t>
      </w:r>
      <w:r>
        <w:rPr>
          <w:sz w:val="20"/>
          <w:szCs w:val="20"/>
        </w:rPr>
        <w:t xml:space="preserve">:  </w:t>
      </w:r>
      <w:r w:rsidRPr="00B83A75">
        <w:rPr>
          <w:sz w:val="20"/>
          <w:szCs w:val="20"/>
        </w:rPr>
        <w:t>the enforcing party will then anticipate the subsequent bad-faith claim for good-faith adjustment and take precautions (such as entering into contingent contracts with other suppliers) that are costly in themselves and produce suboptimal investment in specific assets.</w:t>
      </w:r>
    </w:p>
    <w:p w14:paraId="70D9856A" w14:textId="77777777" w:rsidR="00A1412B" w:rsidRPr="00B83A75" w:rsidRDefault="00A1412B" w:rsidP="00B83A75">
      <w:pPr>
        <w:pStyle w:val="FootnoteText"/>
        <w:spacing w:line="240" w:lineRule="auto"/>
        <w:rPr>
          <w:sz w:val="20"/>
          <w:szCs w:val="20"/>
        </w:rPr>
      </w:pPr>
    </w:p>
  </w:footnote>
  <w:footnote w:id="56">
    <w:p w14:paraId="7D092888" w14:textId="27F963CC" w:rsidR="00A1412B" w:rsidRPr="00B83A75" w:rsidRDefault="00A1412B" w:rsidP="00B83A75">
      <w:pPr>
        <w:ind w:left="90" w:right="90" w:firstLine="630"/>
        <w:rPr>
          <w:rFonts w:ascii="Times New Roman" w:hAnsi="Times New Roman" w:cs="Times New Roman"/>
          <w:sz w:val="20"/>
          <w:szCs w:val="20"/>
        </w:rPr>
      </w:pPr>
      <w:r w:rsidRPr="00B83A75">
        <w:rPr>
          <w:rStyle w:val="FootnoteReference"/>
          <w:rFonts w:ascii="Times New Roman" w:hAnsi="Times New Roman"/>
          <w:sz w:val="20"/>
          <w:szCs w:val="20"/>
        </w:rPr>
        <w:footnoteRef/>
      </w:r>
      <w:r w:rsidRPr="00B83A75">
        <w:rPr>
          <w:rFonts w:ascii="Times New Roman" w:hAnsi="Times New Roman" w:cs="Times New Roman"/>
          <w:sz w:val="20"/>
          <w:szCs w:val="20"/>
        </w:rPr>
        <w:t xml:space="preserve">   With the aid of interpretation maxims, parties can design </w:t>
      </w:r>
      <w:r w:rsidRPr="00B83A75">
        <w:rPr>
          <w:rFonts w:ascii="Times New Roman" w:hAnsi="Times New Roman" w:cs="Times New Roman"/>
          <w:i/>
          <w:sz w:val="20"/>
          <w:szCs w:val="20"/>
        </w:rPr>
        <w:t>combinations</w:t>
      </w:r>
      <w:r w:rsidRPr="00B83A75">
        <w:rPr>
          <w:rFonts w:ascii="Times New Roman" w:hAnsi="Times New Roman" w:cs="Times New Roman"/>
          <w:sz w:val="20"/>
          <w:szCs w:val="20"/>
        </w:rPr>
        <w:t xml:space="preserve"> of precise and vague terms that define more exactly the “space” within which a court has discretion in interpreting the contract.   The parties thus might use a precise term requiring adjustment of the contract price together with a vague standard that catches the residual factors that are not covered by the precise term alone.  In enforcing this vague term, therefore, the court –aided by the interpretation maxim of </w:t>
      </w:r>
      <w:proofErr w:type="spellStart"/>
      <w:r w:rsidRPr="00B83A75">
        <w:rPr>
          <w:rFonts w:ascii="Times New Roman" w:hAnsi="Times New Roman" w:cs="Times New Roman"/>
          <w:i/>
          <w:sz w:val="20"/>
          <w:szCs w:val="20"/>
        </w:rPr>
        <w:t>ejusdem</w:t>
      </w:r>
      <w:proofErr w:type="spellEnd"/>
      <w:r w:rsidRPr="00B83A75">
        <w:rPr>
          <w:rFonts w:ascii="Times New Roman" w:hAnsi="Times New Roman" w:cs="Times New Roman"/>
          <w:i/>
          <w:sz w:val="20"/>
          <w:szCs w:val="20"/>
        </w:rPr>
        <w:t xml:space="preserve"> generis</w:t>
      </w:r>
      <w:r w:rsidRPr="00B83A75">
        <w:rPr>
          <w:rFonts w:ascii="Times New Roman" w:hAnsi="Times New Roman" w:cs="Times New Roman"/>
          <w:sz w:val="20"/>
          <w:szCs w:val="20"/>
        </w:rPr>
        <w:t xml:space="preserve"> (the general is limited by the specific)–will only choose verifiable factors that are similar in kind or related to the precise terms. See generally, Scott &amp; Triantis, </w:t>
      </w:r>
      <w:r w:rsidRPr="00B83A75">
        <w:rPr>
          <w:rFonts w:ascii="Times New Roman" w:hAnsi="Times New Roman" w:cs="Times New Roman"/>
          <w:i/>
          <w:sz w:val="20"/>
          <w:szCs w:val="20"/>
        </w:rPr>
        <w:t>Anticipating Litigation,</w:t>
      </w:r>
      <w:r w:rsidRPr="00B83A75">
        <w:rPr>
          <w:rFonts w:ascii="Times New Roman" w:hAnsi="Times New Roman" w:cs="Times New Roman"/>
          <w:sz w:val="20"/>
          <w:szCs w:val="20"/>
        </w:rPr>
        <w:t xml:space="preserve"> supra note –.at ---.</w:t>
      </w:r>
    </w:p>
    <w:p w14:paraId="01A2BA86" w14:textId="07EF291E" w:rsidR="00A1412B" w:rsidRDefault="00A1412B">
      <w:pPr>
        <w:pStyle w:val="FootnoteText"/>
      </w:pPr>
    </w:p>
  </w:footnote>
  <w:footnote w:id="57">
    <w:p w14:paraId="69396AC8" w14:textId="59AB1D56" w:rsidR="00A1412B" w:rsidRDefault="00A1412B" w:rsidP="00B83A75">
      <w:pPr>
        <w:pStyle w:val="FootnoteText"/>
        <w:spacing w:line="240" w:lineRule="auto"/>
        <w:rPr>
          <w:sz w:val="20"/>
          <w:szCs w:val="20"/>
        </w:rPr>
      </w:pPr>
      <w:r w:rsidRPr="00B83A75">
        <w:rPr>
          <w:rStyle w:val="FootnoteReference"/>
          <w:sz w:val="20"/>
          <w:szCs w:val="20"/>
        </w:rPr>
        <w:footnoteRef/>
      </w:r>
      <w:r w:rsidRPr="00B83A75">
        <w:rPr>
          <w:sz w:val="20"/>
          <w:szCs w:val="20"/>
        </w:rPr>
        <w:t xml:space="preserve"> For discussion see Gilson, </w:t>
      </w:r>
      <w:proofErr w:type="spellStart"/>
      <w:r w:rsidRPr="00B83A75">
        <w:rPr>
          <w:sz w:val="20"/>
          <w:szCs w:val="20"/>
        </w:rPr>
        <w:t>Sabel</w:t>
      </w:r>
      <w:proofErr w:type="spellEnd"/>
      <w:r w:rsidRPr="00B83A75">
        <w:rPr>
          <w:sz w:val="20"/>
          <w:szCs w:val="20"/>
        </w:rPr>
        <w:t xml:space="preserve"> &amp; Scott, </w:t>
      </w:r>
      <w:r w:rsidRPr="00B83A75">
        <w:rPr>
          <w:i/>
          <w:sz w:val="20"/>
          <w:szCs w:val="20"/>
        </w:rPr>
        <w:t xml:space="preserve">Contracting for Innovation, </w:t>
      </w:r>
      <w:r>
        <w:rPr>
          <w:sz w:val="20"/>
          <w:szCs w:val="20"/>
        </w:rPr>
        <w:t xml:space="preserve">supra note 9 </w:t>
      </w:r>
      <w:r w:rsidRPr="00B83A75">
        <w:rPr>
          <w:sz w:val="20"/>
          <w:szCs w:val="20"/>
        </w:rPr>
        <w:t xml:space="preserve">at </w:t>
      </w:r>
      <w:r>
        <w:rPr>
          <w:sz w:val="20"/>
          <w:szCs w:val="20"/>
        </w:rPr>
        <w:t>442-44</w:t>
      </w:r>
      <w:r w:rsidRPr="00B83A75">
        <w:rPr>
          <w:sz w:val="20"/>
          <w:szCs w:val="20"/>
        </w:rPr>
        <w:t>.</w:t>
      </w:r>
    </w:p>
    <w:p w14:paraId="52899757" w14:textId="77777777" w:rsidR="00A1412B" w:rsidRPr="00B83A75" w:rsidRDefault="00A1412B" w:rsidP="00B83A75">
      <w:pPr>
        <w:pStyle w:val="FootnoteText"/>
        <w:spacing w:line="240" w:lineRule="auto"/>
        <w:rPr>
          <w:sz w:val="20"/>
          <w:szCs w:val="20"/>
        </w:rPr>
      </w:pPr>
    </w:p>
  </w:footnote>
  <w:footnote w:id="58">
    <w:p w14:paraId="59001D9A" w14:textId="14914363" w:rsidR="00A1412B" w:rsidRPr="00076D54" w:rsidRDefault="00A1412B" w:rsidP="00076D54">
      <w:pPr>
        <w:pStyle w:val="FootnoteText"/>
        <w:spacing w:line="240" w:lineRule="auto"/>
        <w:rPr>
          <w:sz w:val="20"/>
          <w:szCs w:val="20"/>
        </w:rPr>
      </w:pPr>
      <w:r w:rsidRPr="00076D54">
        <w:rPr>
          <w:rStyle w:val="FootnoteReference"/>
          <w:sz w:val="18"/>
          <w:szCs w:val="18"/>
        </w:rPr>
        <w:footnoteRef/>
      </w:r>
      <w:r>
        <w:t xml:space="preserve"> </w:t>
      </w:r>
      <w:r w:rsidRPr="00076D54">
        <w:rPr>
          <w:sz w:val="20"/>
          <w:szCs w:val="20"/>
        </w:rPr>
        <w:t xml:space="preserve">Beginning roughly in the 1980s and continuing </w:t>
      </w:r>
      <w:r>
        <w:rPr>
          <w:sz w:val="20"/>
          <w:szCs w:val="20"/>
        </w:rPr>
        <w:t xml:space="preserve">to </w:t>
      </w:r>
      <w:r w:rsidRPr="00076D54">
        <w:rPr>
          <w:sz w:val="20"/>
          <w:szCs w:val="20"/>
        </w:rPr>
        <w:t>today, the profusion of new technological possibilities associated with what is loosely called the information revolution operated to intensify the systemic uncertainty arising faced by producers of electronics.  Innovations cascaded, often leading to improvement cycles that became self-perpetuating and ultimately transform</w:t>
      </w:r>
      <w:r>
        <w:rPr>
          <w:sz w:val="20"/>
          <w:szCs w:val="20"/>
        </w:rPr>
        <w:t>ing</w:t>
      </w:r>
      <w:r w:rsidRPr="00076D54">
        <w:rPr>
          <w:sz w:val="20"/>
          <w:szCs w:val="20"/>
        </w:rPr>
        <w:t xml:space="preserve"> the possibilities for new applications. The computer itself is a prime example:  Increases in computational power led to improved tools for the design of microprocessors, more sophisticated materials and more exacting manufacturing techniques for realizing the new designs.  These improvements then led to further increases in the power of computers, and the cycle then replayed. This increasing unpredictability is manifest as the pervasive fear of what Clayton Christensen calls “disruptive” technologies. </w:t>
      </w:r>
      <w:r w:rsidRPr="00076D54">
        <w:rPr>
          <w:smallCaps/>
          <w:sz w:val="20"/>
          <w:szCs w:val="20"/>
        </w:rPr>
        <w:t>Clayton M. Christensen, The Innovator’s Dilemma (1997).</w:t>
      </w:r>
    </w:p>
    <w:p w14:paraId="5F1F2BF4" w14:textId="2405F484" w:rsidR="00A1412B" w:rsidRPr="00076D54" w:rsidRDefault="00A1412B" w:rsidP="00076D54">
      <w:pPr>
        <w:ind w:firstLine="720"/>
        <w:jc w:val="both"/>
      </w:pPr>
    </w:p>
  </w:footnote>
  <w:footnote w:id="59">
    <w:p w14:paraId="236392B3" w14:textId="6F5C8675" w:rsidR="00A1412B" w:rsidRDefault="00A1412B" w:rsidP="009A4A03">
      <w:pPr>
        <w:pStyle w:val="FootnoteText"/>
        <w:tabs>
          <w:tab w:val="left" w:pos="-720"/>
        </w:tabs>
        <w:spacing w:line="240" w:lineRule="auto"/>
        <w:ind w:firstLine="0"/>
        <w:rPr>
          <w:sz w:val="20"/>
          <w:szCs w:val="20"/>
        </w:rPr>
      </w:pPr>
      <w:r>
        <w:tab/>
      </w:r>
      <w:r>
        <w:rPr>
          <w:rStyle w:val="FootnoteReference"/>
        </w:rPr>
        <w:footnoteRef/>
      </w:r>
      <w:r>
        <w:t xml:space="preserve"> </w:t>
      </w:r>
      <w:r w:rsidRPr="0017404D">
        <w:rPr>
          <w:i/>
          <w:sz w:val="20"/>
          <w:szCs w:val="20"/>
        </w:rPr>
        <w:t>See, e.g.</w:t>
      </w:r>
      <w:r w:rsidRPr="0017404D">
        <w:rPr>
          <w:sz w:val="20"/>
          <w:szCs w:val="20"/>
        </w:rPr>
        <w:t xml:space="preserve">, </w:t>
      </w:r>
      <w:r w:rsidRPr="0017404D">
        <w:rPr>
          <w:iCs/>
          <w:sz w:val="20"/>
          <w:szCs w:val="20"/>
        </w:rPr>
        <w:t xml:space="preserve">Eli Lilly &amp; Co. v. </w:t>
      </w:r>
      <w:proofErr w:type="spellStart"/>
      <w:r w:rsidRPr="0017404D">
        <w:rPr>
          <w:iCs/>
          <w:sz w:val="20"/>
          <w:szCs w:val="20"/>
        </w:rPr>
        <w:t>Emisphere</w:t>
      </w:r>
      <w:proofErr w:type="spellEnd"/>
      <w:r w:rsidRPr="0017404D">
        <w:rPr>
          <w:iCs/>
          <w:sz w:val="20"/>
          <w:szCs w:val="20"/>
        </w:rPr>
        <w:t xml:space="preserve"> Technologies Inc</w:t>
      </w:r>
      <w:r w:rsidRPr="0017404D">
        <w:rPr>
          <w:i/>
          <w:iCs/>
          <w:sz w:val="20"/>
          <w:szCs w:val="20"/>
        </w:rPr>
        <w:t>.</w:t>
      </w:r>
      <w:r w:rsidRPr="0017404D">
        <w:rPr>
          <w:sz w:val="20"/>
          <w:szCs w:val="20"/>
        </w:rPr>
        <w:t>, 408 F. Supp. 2d 668, 696–97 (S.D. Ind. 2006) (holding that the contractual remedy for breach of a collaborative agreement is limited to the right to terminate and retain accrued scientific information).</w:t>
      </w:r>
    </w:p>
    <w:p w14:paraId="6D66304C" w14:textId="34A2AF8F" w:rsidR="00A1412B" w:rsidRDefault="00A1412B">
      <w:pPr>
        <w:pStyle w:val="FootnoteText"/>
      </w:pPr>
    </w:p>
  </w:footnote>
  <w:footnote w:id="60">
    <w:p w14:paraId="55D22B64" w14:textId="6160404B" w:rsidR="00A1412B" w:rsidRPr="00B83A75" w:rsidRDefault="00A1412B" w:rsidP="00B83A75">
      <w:pPr>
        <w:ind w:firstLine="720"/>
        <w:rPr>
          <w:rFonts w:ascii="Times New Roman" w:hAnsi="Times New Roman" w:cs="Times New Roman"/>
          <w:sz w:val="20"/>
          <w:szCs w:val="20"/>
        </w:rPr>
      </w:pPr>
      <w:r w:rsidRPr="00933565">
        <w:rPr>
          <w:rStyle w:val="FootnoteReference"/>
        </w:rPr>
        <w:footnoteRef/>
      </w:r>
      <w:r w:rsidRPr="00933565">
        <w:t xml:space="preserve"> </w:t>
      </w:r>
      <w:proofErr w:type="gramStart"/>
      <w:r w:rsidRPr="00933565">
        <w:rPr>
          <w:rFonts w:ascii="Times New Roman" w:hAnsi="Times New Roman" w:cs="Times New Roman"/>
          <w:sz w:val="20"/>
          <w:szCs w:val="20"/>
        </w:rPr>
        <w:t xml:space="preserve">Gilson, </w:t>
      </w:r>
      <w:proofErr w:type="spellStart"/>
      <w:r w:rsidRPr="00933565">
        <w:rPr>
          <w:rFonts w:ascii="Times New Roman" w:hAnsi="Times New Roman" w:cs="Times New Roman"/>
          <w:sz w:val="20"/>
          <w:szCs w:val="20"/>
        </w:rPr>
        <w:t>Sabel</w:t>
      </w:r>
      <w:proofErr w:type="spellEnd"/>
      <w:r w:rsidRPr="00933565">
        <w:rPr>
          <w:rFonts w:ascii="Times New Roman" w:hAnsi="Times New Roman" w:cs="Times New Roman"/>
          <w:sz w:val="20"/>
          <w:szCs w:val="20"/>
        </w:rPr>
        <w:t xml:space="preserve"> &amp; Scott, </w:t>
      </w:r>
      <w:r w:rsidRPr="00933565">
        <w:rPr>
          <w:rFonts w:ascii="Times New Roman" w:hAnsi="Times New Roman" w:cs="Times New Roman"/>
          <w:i/>
          <w:sz w:val="20"/>
          <w:szCs w:val="20"/>
        </w:rPr>
        <w:t xml:space="preserve">Braiding, </w:t>
      </w:r>
      <w:r w:rsidRPr="00933565">
        <w:rPr>
          <w:rFonts w:ascii="Times New Roman" w:hAnsi="Times New Roman" w:cs="Times New Roman"/>
          <w:sz w:val="20"/>
          <w:szCs w:val="20"/>
        </w:rPr>
        <w:t xml:space="preserve">supra note </w:t>
      </w:r>
      <w:r>
        <w:rPr>
          <w:rFonts w:ascii="Times New Roman" w:hAnsi="Times New Roman" w:cs="Times New Roman"/>
          <w:sz w:val="20"/>
          <w:szCs w:val="20"/>
        </w:rPr>
        <w:t xml:space="preserve">11 </w:t>
      </w:r>
      <w:r w:rsidRPr="00933565">
        <w:rPr>
          <w:rFonts w:ascii="Times New Roman" w:hAnsi="Times New Roman" w:cs="Times New Roman"/>
          <w:sz w:val="20"/>
          <w:szCs w:val="20"/>
        </w:rPr>
        <w:t>at 1405</w:t>
      </w:r>
      <w:r>
        <w:rPr>
          <w:rFonts w:ascii="Times New Roman" w:hAnsi="Times New Roman" w:cs="Times New Roman"/>
          <w:sz w:val="20"/>
          <w:szCs w:val="20"/>
        </w:rPr>
        <w:t xml:space="preserve"> </w:t>
      </w:r>
      <w:r w:rsidRPr="00933565">
        <w:rPr>
          <w:rFonts w:ascii="Times New Roman" w:hAnsi="Times New Roman" w:cs="Times New Roman"/>
          <w:sz w:val="20"/>
          <w:szCs w:val="20"/>
        </w:rPr>
        <w:t>–10 (2010</w:t>
      </w:r>
      <w:r>
        <w:rPr>
          <w:rStyle w:val="FootnoteReference"/>
          <w:rFonts w:ascii="Times New Roman" w:hAnsi="Times New Roman"/>
          <w:sz w:val="20"/>
          <w:szCs w:val="20"/>
        </w:rPr>
        <w:t xml:space="preserve"> </w:t>
      </w:r>
      <w:r w:rsidR="00867C65">
        <w:rPr>
          <w:rFonts w:ascii="Times New Roman" w:hAnsi="Times New Roman"/>
          <w:sz w:val="20"/>
          <w:szCs w:val="20"/>
        </w:rPr>
        <w:t>).</w:t>
      </w:r>
      <w:proofErr w:type="gramEnd"/>
    </w:p>
    <w:p w14:paraId="4289EB8E" w14:textId="13A9218D" w:rsidR="00A1412B" w:rsidRPr="00B83A75" w:rsidRDefault="00A1412B" w:rsidP="00B83A75">
      <w:pPr>
        <w:rPr>
          <w:rFonts w:ascii="Times New Roman" w:hAnsi="Times New Roman" w:cs="Times New Roman"/>
          <w:sz w:val="20"/>
          <w:szCs w:val="20"/>
        </w:rPr>
      </w:pPr>
    </w:p>
  </w:footnote>
  <w:footnote w:id="61">
    <w:p w14:paraId="0AB129B9" w14:textId="22D34A6F" w:rsidR="00867C65" w:rsidRPr="00867C65" w:rsidRDefault="00867C65" w:rsidP="00867C65">
      <w:pPr>
        <w:pStyle w:val="FootnoteText"/>
        <w:spacing w:line="240" w:lineRule="auto"/>
        <w:rPr>
          <w:sz w:val="20"/>
          <w:szCs w:val="20"/>
        </w:rPr>
      </w:pPr>
      <w:r>
        <w:rPr>
          <w:rStyle w:val="FootnoteReference"/>
        </w:rPr>
        <w:footnoteRef/>
      </w:r>
      <w:r>
        <w:t xml:space="preserve"> </w:t>
      </w:r>
      <w:r>
        <w:rPr>
          <w:sz w:val="20"/>
          <w:szCs w:val="20"/>
        </w:rPr>
        <w:t xml:space="preserve">Id. </w:t>
      </w:r>
      <w:r w:rsidRPr="00867C65">
        <w:rPr>
          <w:sz w:val="20"/>
          <w:szCs w:val="20"/>
        </w:rPr>
        <w:t>A non-exhaustive and non-random sample of collaborative contracts that combine formal and informal elements</w:t>
      </w:r>
      <w:r>
        <w:rPr>
          <w:sz w:val="20"/>
          <w:szCs w:val="20"/>
        </w:rPr>
        <w:t xml:space="preserve"> in the manner described in the </w:t>
      </w:r>
      <w:proofErr w:type="gramStart"/>
      <w:r>
        <w:rPr>
          <w:sz w:val="20"/>
          <w:szCs w:val="20"/>
        </w:rPr>
        <w:t xml:space="preserve">text </w:t>
      </w:r>
      <w:r w:rsidRPr="00867C65">
        <w:rPr>
          <w:sz w:val="20"/>
          <w:szCs w:val="20"/>
        </w:rPr>
        <w:t xml:space="preserve"> can</w:t>
      </w:r>
      <w:proofErr w:type="gramEnd"/>
      <w:r w:rsidRPr="00867C65">
        <w:rPr>
          <w:sz w:val="20"/>
          <w:szCs w:val="20"/>
        </w:rPr>
        <w:t xml:space="preserve"> be found at onecle.com, </w:t>
      </w:r>
      <w:hyperlink r:id="rId3" w:history="1">
        <w:r w:rsidRPr="00867C65">
          <w:rPr>
            <w:rStyle w:val="Hyperlink"/>
            <w:sz w:val="20"/>
            <w:szCs w:val="20"/>
          </w:rPr>
          <w:t>http://www.onecle.com</w:t>
        </w:r>
      </w:hyperlink>
      <w:r w:rsidRPr="00867C65">
        <w:rPr>
          <w:sz w:val="20"/>
          <w:szCs w:val="20"/>
        </w:rPr>
        <w:t xml:space="preserve">, and the Contracting and Organizations Research Institute, </w:t>
      </w:r>
      <w:hyperlink r:id="rId4" w:history="1">
        <w:r w:rsidRPr="00867C65">
          <w:rPr>
            <w:rStyle w:val="Hyperlink"/>
            <w:sz w:val="20"/>
            <w:szCs w:val="20"/>
          </w:rPr>
          <w:t>http://cori.missour.edu</w:t>
        </w:r>
      </w:hyperlink>
      <w:r w:rsidRPr="00867C65">
        <w:rPr>
          <w:sz w:val="20"/>
          <w:szCs w:val="20"/>
        </w:rPr>
        <w:t xml:space="preserve">.  See e.g., Data Management Outsourcing Agreement Between Allstate Insurance Company and </w:t>
      </w:r>
      <w:proofErr w:type="spellStart"/>
      <w:r w:rsidRPr="00867C65">
        <w:rPr>
          <w:sz w:val="20"/>
          <w:szCs w:val="20"/>
        </w:rPr>
        <w:t>Axciom</w:t>
      </w:r>
      <w:proofErr w:type="spellEnd"/>
      <w:r w:rsidRPr="00867C65">
        <w:rPr>
          <w:sz w:val="20"/>
          <w:szCs w:val="20"/>
        </w:rPr>
        <w:t xml:space="preserve"> Corporation (March 19, 1999) (contract for </w:t>
      </w:r>
      <w:proofErr w:type="spellStart"/>
      <w:r w:rsidRPr="00867C65">
        <w:rPr>
          <w:sz w:val="20"/>
          <w:szCs w:val="20"/>
        </w:rPr>
        <w:t>Axciom</w:t>
      </w:r>
      <w:proofErr w:type="spellEnd"/>
      <w:r w:rsidRPr="00867C65">
        <w:rPr>
          <w:sz w:val="20"/>
          <w:szCs w:val="20"/>
        </w:rPr>
        <w:t xml:space="preserve"> to develop a data acquisition system to support Allstate’s underwriting of new business in auto and property insurance); Agreement between Phoenix Technologies Ltd. and Intel Corporation (December 1995) (supply contract for Phoenix to be a principal supplier of system-level software to Intel); General Terms Agreement between the Boeing Company and Spirit </w:t>
      </w:r>
      <w:proofErr w:type="spellStart"/>
      <w:r w:rsidRPr="00867C65">
        <w:rPr>
          <w:sz w:val="20"/>
          <w:szCs w:val="20"/>
        </w:rPr>
        <w:t>Aerosystems</w:t>
      </w:r>
      <w:proofErr w:type="spellEnd"/>
      <w:r w:rsidRPr="00867C65">
        <w:rPr>
          <w:sz w:val="20"/>
          <w:szCs w:val="20"/>
        </w:rPr>
        <w:t xml:space="preserve"> Inc. (June 30, 2006) (general terms agreement covering purchase orders by Boeing for particular product to be supplied by Spirit); Component Supply Agreement between American Axle &amp; Manufacturing, Inc. and General Motors Corporation (June 5, 1998) (requirements contract for motor vehicle components to be supplied by AAM to GMM); Development Agreement between </w:t>
      </w:r>
      <w:proofErr w:type="spellStart"/>
      <w:r w:rsidRPr="00867C65">
        <w:rPr>
          <w:sz w:val="20"/>
          <w:szCs w:val="20"/>
        </w:rPr>
        <w:t>Nanosys</w:t>
      </w:r>
      <w:proofErr w:type="spellEnd"/>
      <w:r w:rsidRPr="00867C65">
        <w:rPr>
          <w:sz w:val="20"/>
          <w:szCs w:val="20"/>
        </w:rPr>
        <w:t xml:space="preserve">, Inc. and Matsushita Electric Works, Ltd. (Nov. 18, 2002) (collaboration agreement to develop photovoltaic devices with </w:t>
      </w:r>
      <w:proofErr w:type="spellStart"/>
      <w:r w:rsidRPr="00867C65">
        <w:rPr>
          <w:sz w:val="20"/>
          <w:szCs w:val="20"/>
        </w:rPr>
        <w:t>nano</w:t>
      </w:r>
      <w:proofErr w:type="spellEnd"/>
      <w:r w:rsidRPr="00867C65">
        <w:rPr>
          <w:sz w:val="20"/>
          <w:szCs w:val="20"/>
        </w:rPr>
        <w:t xml:space="preserve"> components in Asia); Fountain Manufacturing Agreement between Apple Computer, Inc. and SCI Systems, </w:t>
      </w:r>
      <w:proofErr w:type="spellStart"/>
      <w:r w:rsidRPr="00867C65">
        <w:rPr>
          <w:sz w:val="20"/>
          <w:szCs w:val="20"/>
        </w:rPr>
        <w:t>Inc</w:t>
      </w:r>
      <w:proofErr w:type="spellEnd"/>
      <w:r w:rsidRPr="00867C65">
        <w:rPr>
          <w:sz w:val="20"/>
          <w:szCs w:val="20"/>
        </w:rPr>
        <w:t xml:space="preserve"> (May 31, 1996) ( a contract manufacturing agreement for SCI to produce designated products at the Fountain, Colo., plant); Research, Development and License Agreement between Warner-Lambert Company and Ligand Pharmaceuticals Inc. ( Sept. 1, 1999) ( pharmaceutical research and development collaboration between “big </w:t>
      </w:r>
      <w:proofErr w:type="spellStart"/>
      <w:r w:rsidRPr="00867C65">
        <w:rPr>
          <w:sz w:val="20"/>
          <w:szCs w:val="20"/>
        </w:rPr>
        <w:t>pharma</w:t>
      </w:r>
      <w:proofErr w:type="spellEnd"/>
      <w:r w:rsidRPr="00867C65">
        <w:rPr>
          <w:sz w:val="20"/>
          <w:szCs w:val="20"/>
        </w:rPr>
        <w:t xml:space="preserve">” and “little </w:t>
      </w:r>
      <w:proofErr w:type="spellStart"/>
      <w:r w:rsidRPr="00867C65">
        <w:rPr>
          <w:sz w:val="20"/>
          <w:szCs w:val="20"/>
        </w:rPr>
        <w:t>pharma</w:t>
      </w:r>
      <w:proofErr w:type="spellEnd"/>
      <w:r w:rsidRPr="00867C65">
        <w:rPr>
          <w:sz w:val="20"/>
          <w:szCs w:val="20"/>
        </w:rPr>
        <w:t xml:space="preserve">”); Long Term Agreement between John Deere &amp; Company and </w:t>
      </w:r>
      <w:proofErr w:type="spellStart"/>
      <w:r w:rsidRPr="00867C65">
        <w:rPr>
          <w:sz w:val="20"/>
          <w:szCs w:val="20"/>
        </w:rPr>
        <w:t>Stanadyne</w:t>
      </w:r>
      <w:proofErr w:type="spellEnd"/>
      <w:r w:rsidRPr="00867C65">
        <w:rPr>
          <w:sz w:val="20"/>
          <w:szCs w:val="20"/>
        </w:rPr>
        <w:t xml:space="preserve"> Corporation (5 year supply contract for the purchase of fuel filtration systems, injection nozzles and related products by Deere from </w:t>
      </w:r>
      <w:proofErr w:type="spellStart"/>
      <w:r w:rsidRPr="00867C65">
        <w:rPr>
          <w:sz w:val="20"/>
          <w:szCs w:val="20"/>
        </w:rPr>
        <w:t>Stanadyne</w:t>
      </w:r>
      <w:proofErr w:type="spellEnd"/>
      <w:r w:rsidRPr="00867C65">
        <w:rPr>
          <w:sz w:val="20"/>
          <w:szCs w:val="20"/>
        </w:rPr>
        <w:t xml:space="preserve">).; Airbus A320 Purchase Agreement between AVSA S.A.R.L. and New Air Corporation (April 30, 1999) ) (JetBlue and Airbus purchasing agreement).  See also examples of collaborative contracts cited in George S. </w:t>
      </w:r>
      <w:proofErr w:type="spellStart"/>
      <w:r w:rsidRPr="00867C65">
        <w:rPr>
          <w:sz w:val="20"/>
          <w:szCs w:val="20"/>
        </w:rPr>
        <w:t>Geis</w:t>
      </w:r>
      <w:proofErr w:type="spellEnd"/>
      <w:r w:rsidRPr="00867C65">
        <w:rPr>
          <w:sz w:val="20"/>
          <w:szCs w:val="20"/>
        </w:rPr>
        <w:t xml:space="preserve">, </w:t>
      </w:r>
      <w:r w:rsidRPr="00867C65">
        <w:rPr>
          <w:i/>
          <w:iCs/>
          <w:sz w:val="20"/>
          <w:szCs w:val="20"/>
        </w:rPr>
        <w:t xml:space="preserve">The Space Between Markets and Hierarchies, </w:t>
      </w:r>
      <w:r w:rsidRPr="00867C65">
        <w:rPr>
          <w:sz w:val="20"/>
          <w:szCs w:val="20"/>
        </w:rPr>
        <w:t>95 Va. L. Rev. 98 (2009).</w:t>
      </w:r>
    </w:p>
    <w:p w14:paraId="737A19DD" w14:textId="2B66A4E9" w:rsidR="00867C65" w:rsidRPr="00867C65" w:rsidRDefault="00867C65">
      <w:pPr>
        <w:pStyle w:val="FootnoteText"/>
        <w:rPr>
          <w:sz w:val="20"/>
          <w:szCs w:val="20"/>
        </w:rPr>
      </w:pPr>
    </w:p>
  </w:footnote>
  <w:footnote w:id="62">
    <w:p w14:paraId="7148D35B" w14:textId="6D75C7ED" w:rsidR="00A1412B" w:rsidRDefault="00A1412B" w:rsidP="00B83A75">
      <w:pPr>
        <w:widowControl w:val="0"/>
        <w:autoSpaceDE w:val="0"/>
        <w:autoSpaceDN w:val="0"/>
        <w:adjustRightInd w:val="0"/>
        <w:ind w:firstLine="720"/>
        <w:rPr>
          <w:rFonts w:ascii="Times New Roman" w:hAnsi="Times New Roman"/>
          <w:color w:val="000000"/>
          <w:sz w:val="20"/>
          <w:szCs w:val="20"/>
        </w:rPr>
      </w:pPr>
      <w:r>
        <w:rPr>
          <w:rStyle w:val="FootnoteReference"/>
        </w:rPr>
        <w:footnoteRef/>
      </w:r>
      <w:r>
        <w:t xml:space="preserve"> </w:t>
      </w:r>
      <w:r w:rsidRPr="00B83A75">
        <w:rPr>
          <w:rFonts w:ascii="Times New Roman" w:hAnsi="Times New Roman"/>
          <w:i/>
          <w:iCs/>
          <w:sz w:val="20"/>
          <w:szCs w:val="20"/>
        </w:rPr>
        <w:t xml:space="preserve">Eli Lilly &amp; Co. v. </w:t>
      </w:r>
      <w:proofErr w:type="spellStart"/>
      <w:r w:rsidRPr="00B83A75">
        <w:rPr>
          <w:rFonts w:ascii="Times New Roman" w:hAnsi="Times New Roman"/>
          <w:i/>
          <w:iCs/>
          <w:sz w:val="20"/>
          <w:szCs w:val="20"/>
        </w:rPr>
        <w:t>Emisphere</w:t>
      </w:r>
      <w:proofErr w:type="spellEnd"/>
      <w:r w:rsidRPr="00B83A75">
        <w:rPr>
          <w:rFonts w:ascii="Times New Roman" w:hAnsi="Times New Roman"/>
          <w:i/>
          <w:iCs/>
          <w:sz w:val="20"/>
          <w:szCs w:val="20"/>
        </w:rPr>
        <w:t xml:space="preserve"> Technologies Inc</w:t>
      </w:r>
      <w:r>
        <w:rPr>
          <w:rFonts w:ascii="Times New Roman" w:hAnsi="Times New Roman"/>
          <w:i/>
          <w:iCs/>
          <w:sz w:val="20"/>
          <w:szCs w:val="20"/>
        </w:rPr>
        <w:t xml:space="preserve">., </w:t>
      </w:r>
      <w:r>
        <w:rPr>
          <w:rFonts w:ascii="Times New Roman" w:hAnsi="Times New Roman"/>
          <w:iCs/>
          <w:sz w:val="20"/>
          <w:szCs w:val="20"/>
        </w:rPr>
        <w:t xml:space="preserve">supra note </w:t>
      </w:r>
      <w:proofErr w:type="gramStart"/>
      <w:r>
        <w:rPr>
          <w:rFonts w:ascii="Times New Roman" w:hAnsi="Times New Roman"/>
          <w:iCs/>
          <w:sz w:val="20"/>
          <w:szCs w:val="20"/>
        </w:rPr>
        <w:t>58</w:t>
      </w:r>
      <w:r>
        <w:rPr>
          <w:rFonts w:ascii="Times New Roman" w:hAnsi="Times New Roman"/>
          <w:sz w:val="20"/>
          <w:szCs w:val="20"/>
        </w:rPr>
        <w:t>,</w:t>
      </w:r>
      <w:proofErr w:type="gramEnd"/>
      <w:r>
        <w:rPr>
          <w:rFonts w:ascii="Times New Roman" w:hAnsi="Times New Roman"/>
          <w:sz w:val="20"/>
          <w:szCs w:val="20"/>
        </w:rPr>
        <w:t xml:space="preserve"> is an example of a court that was able to solve the </w:t>
      </w:r>
      <w:proofErr w:type="spellStart"/>
      <w:r>
        <w:rPr>
          <w:rFonts w:ascii="Times New Roman" w:hAnsi="Times New Roman"/>
          <w:sz w:val="20"/>
          <w:szCs w:val="20"/>
        </w:rPr>
        <w:t>Goldilock’s</w:t>
      </w:r>
      <w:proofErr w:type="spellEnd"/>
      <w:r>
        <w:rPr>
          <w:rFonts w:ascii="Times New Roman" w:hAnsi="Times New Roman"/>
          <w:sz w:val="20"/>
          <w:szCs w:val="20"/>
        </w:rPr>
        <w:t xml:space="preserve"> Problem by focusing solely on the opportunistic behavior of the </w:t>
      </w:r>
      <w:proofErr w:type="spellStart"/>
      <w:r>
        <w:rPr>
          <w:rFonts w:ascii="Times New Roman" w:hAnsi="Times New Roman"/>
          <w:sz w:val="20"/>
          <w:szCs w:val="20"/>
        </w:rPr>
        <w:t>shader</w:t>
      </w:r>
      <w:proofErr w:type="spellEnd"/>
      <w:r w:rsidRPr="007D0898">
        <w:rPr>
          <w:rFonts w:ascii="Times New Roman" w:hAnsi="Times New Roman"/>
          <w:sz w:val="20"/>
          <w:szCs w:val="20"/>
        </w:rPr>
        <w:t>.</w:t>
      </w:r>
      <w:r>
        <w:rPr>
          <w:sz w:val="20"/>
          <w:szCs w:val="20"/>
        </w:rPr>
        <w:t xml:space="preserve">  </w:t>
      </w:r>
      <w:r w:rsidRPr="005C64AF">
        <w:rPr>
          <w:rFonts w:ascii="Times New Roman" w:hAnsi="Times New Roman"/>
          <w:color w:val="000000"/>
          <w:sz w:val="20"/>
          <w:szCs w:val="20"/>
        </w:rPr>
        <w:t xml:space="preserve">The parties to this </w:t>
      </w:r>
      <w:proofErr w:type="spellStart"/>
      <w:r w:rsidRPr="005C64AF">
        <w:rPr>
          <w:rFonts w:ascii="Times New Roman" w:hAnsi="Times New Roman"/>
          <w:color w:val="000000"/>
          <w:sz w:val="20"/>
          <w:szCs w:val="20"/>
        </w:rPr>
        <w:t>pharma</w:t>
      </w:r>
      <w:proofErr w:type="spellEnd"/>
      <w:r w:rsidRPr="005C64AF">
        <w:rPr>
          <w:rFonts w:ascii="Times New Roman" w:hAnsi="Times New Roman"/>
          <w:color w:val="000000"/>
          <w:sz w:val="20"/>
          <w:szCs w:val="20"/>
        </w:rPr>
        <w:t xml:space="preserve">/ biotech collaboration had entered into a form of agreement that </w:t>
      </w:r>
      <w:r>
        <w:rPr>
          <w:rFonts w:ascii="Times New Roman" w:hAnsi="Times New Roman"/>
          <w:color w:val="000000"/>
          <w:sz w:val="20"/>
          <w:szCs w:val="20"/>
        </w:rPr>
        <w:t>committed each party to share private information in the hopes of a collective scientific breakthrough.</w:t>
      </w:r>
      <w:r w:rsidRPr="005C64AF">
        <w:rPr>
          <w:rFonts w:ascii="Times New Roman" w:hAnsi="Times New Roman"/>
          <w:color w:val="000000"/>
          <w:sz w:val="20"/>
          <w:szCs w:val="20"/>
        </w:rPr>
        <w:t xml:space="preserve"> Lilly</w:t>
      </w:r>
      <w:r>
        <w:rPr>
          <w:rFonts w:ascii="Times New Roman" w:hAnsi="Times New Roman"/>
          <w:color w:val="000000"/>
          <w:sz w:val="20"/>
          <w:szCs w:val="20"/>
        </w:rPr>
        <w:t xml:space="preserve"> subsequently </w:t>
      </w:r>
      <w:r w:rsidRPr="005C64AF">
        <w:rPr>
          <w:rFonts w:ascii="Times New Roman" w:hAnsi="Times New Roman"/>
          <w:color w:val="000000"/>
          <w:sz w:val="20"/>
          <w:szCs w:val="20"/>
        </w:rPr>
        <w:t>undertook secret research projects, using information that had been jointly developed</w:t>
      </w:r>
      <w:r>
        <w:rPr>
          <w:rFonts w:ascii="Times New Roman" w:hAnsi="Times New Roman"/>
          <w:color w:val="000000"/>
          <w:sz w:val="20"/>
          <w:szCs w:val="20"/>
        </w:rPr>
        <w:t>.</w:t>
      </w:r>
      <w:r w:rsidRPr="005C64AF">
        <w:rPr>
          <w:rFonts w:ascii="Times New Roman" w:hAnsi="Times New Roman"/>
          <w:color w:val="000000"/>
          <w:sz w:val="20"/>
          <w:szCs w:val="20"/>
        </w:rPr>
        <w:t xml:space="preserve">  Holding that Lilly had </w:t>
      </w:r>
      <w:r>
        <w:rPr>
          <w:rFonts w:ascii="Times New Roman" w:hAnsi="Times New Roman"/>
          <w:color w:val="000000"/>
          <w:sz w:val="20"/>
          <w:szCs w:val="20"/>
        </w:rPr>
        <w:t xml:space="preserve">breached the contract and </w:t>
      </w:r>
      <w:r w:rsidRPr="005C64AF">
        <w:rPr>
          <w:rFonts w:ascii="Times New Roman" w:hAnsi="Times New Roman"/>
          <w:color w:val="000000"/>
          <w:sz w:val="20"/>
          <w:szCs w:val="20"/>
        </w:rPr>
        <w:t>therefore forfeited its investment in the joint project, the court concluded:</w:t>
      </w:r>
    </w:p>
    <w:p w14:paraId="5A83BEF7" w14:textId="77777777" w:rsidR="00A1412B" w:rsidRPr="005C64AF" w:rsidRDefault="00A1412B" w:rsidP="00B83A75">
      <w:pPr>
        <w:widowControl w:val="0"/>
        <w:autoSpaceDE w:val="0"/>
        <w:autoSpaceDN w:val="0"/>
        <w:adjustRightInd w:val="0"/>
        <w:ind w:firstLine="720"/>
        <w:rPr>
          <w:rFonts w:ascii="Times New Roman" w:hAnsi="Times New Roman"/>
          <w:color w:val="000000"/>
          <w:sz w:val="20"/>
          <w:szCs w:val="20"/>
        </w:rPr>
      </w:pPr>
    </w:p>
    <w:p w14:paraId="11E13715" w14:textId="703C4A14" w:rsidR="00A1412B" w:rsidRDefault="00A1412B" w:rsidP="00B83A75">
      <w:pPr>
        <w:pStyle w:val="FootnoteText"/>
        <w:spacing w:line="240" w:lineRule="auto"/>
        <w:ind w:left="720"/>
        <w:rPr>
          <w:color w:val="000000"/>
          <w:sz w:val="20"/>
          <w:szCs w:val="20"/>
        </w:rPr>
      </w:pPr>
      <w:r w:rsidRPr="005C64AF">
        <w:rPr>
          <w:color w:val="000000"/>
          <w:sz w:val="20"/>
          <w:szCs w:val="20"/>
        </w:rPr>
        <w:t xml:space="preserve">Lilly and </w:t>
      </w:r>
      <w:proofErr w:type="spellStart"/>
      <w:r w:rsidRPr="005C64AF">
        <w:rPr>
          <w:color w:val="000000"/>
          <w:sz w:val="20"/>
          <w:szCs w:val="20"/>
        </w:rPr>
        <w:t>Emisphere</w:t>
      </w:r>
      <w:proofErr w:type="spellEnd"/>
      <w:r w:rsidRPr="005C64AF">
        <w:rPr>
          <w:color w:val="000000"/>
          <w:sz w:val="20"/>
          <w:szCs w:val="20"/>
        </w:rPr>
        <w:t xml:space="preserve"> entered into a close, collaborative research relationship that required trust and good faith on both sides. After several years of joint research, Lilly decided it really did not need </w:t>
      </w:r>
      <w:proofErr w:type="spellStart"/>
      <w:r w:rsidRPr="005C64AF">
        <w:rPr>
          <w:color w:val="000000"/>
          <w:sz w:val="20"/>
          <w:szCs w:val="20"/>
        </w:rPr>
        <w:t>Emisphere</w:t>
      </w:r>
      <w:proofErr w:type="spellEnd"/>
      <w:r w:rsidRPr="005C64AF">
        <w:rPr>
          <w:color w:val="000000"/>
          <w:sz w:val="20"/>
          <w:szCs w:val="20"/>
        </w:rPr>
        <w:t xml:space="preserve"> any further, so it decided to pursue a secret research strategy in breach of its contractual obligations to </w:t>
      </w:r>
      <w:proofErr w:type="spellStart"/>
      <w:r w:rsidRPr="005C64AF">
        <w:rPr>
          <w:color w:val="000000"/>
          <w:sz w:val="20"/>
          <w:szCs w:val="20"/>
        </w:rPr>
        <w:t>Emisphere</w:t>
      </w:r>
      <w:proofErr w:type="spellEnd"/>
      <w:r w:rsidRPr="005C64AF">
        <w:rPr>
          <w:color w:val="000000"/>
          <w:sz w:val="20"/>
          <w:szCs w:val="20"/>
        </w:rPr>
        <w:t>. The parties in this case are both highly sophisticated and well-counseled businesses that have the right to try to exercise their full legal rights under the relevant contracts.  Lilly</w:t>
      </w:r>
      <w:r w:rsidRPr="006B6BF7">
        <w:rPr>
          <w:color w:val="000000"/>
        </w:rPr>
        <w:t xml:space="preserve"> </w:t>
      </w:r>
      <w:r w:rsidRPr="005C64AF">
        <w:rPr>
          <w:color w:val="000000"/>
          <w:sz w:val="20"/>
          <w:szCs w:val="20"/>
        </w:rPr>
        <w:t>has asserted theories to justify its actions under the contracts, but those theories are not supported by the evidence or the law.</w:t>
      </w:r>
      <w:r>
        <w:rPr>
          <w:color w:val="000000"/>
          <w:sz w:val="20"/>
          <w:szCs w:val="20"/>
        </w:rPr>
        <w:t xml:space="preserve">  Id. at </w:t>
      </w:r>
    </w:p>
    <w:p w14:paraId="4091000C" w14:textId="77777777" w:rsidR="00A1412B" w:rsidRDefault="00A1412B" w:rsidP="00B83A75">
      <w:pPr>
        <w:pStyle w:val="FootnoteText"/>
        <w:spacing w:line="240" w:lineRule="auto"/>
        <w:ind w:left="720"/>
        <w:rPr>
          <w:color w:val="000000"/>
          <w:sz w:val="20"/>
          <w:szCs w:val="20"/>
        </w:rPr>
      </w:pPr>
    </w:p>
    <w:p w14:paraId="2673B91B" w14:textId="144E4AAE" w:rsidR="00A1412B" w:rsidRPr="009D4BC8" w:rsidRDefault="00A1412B" w:rsidP="000150F8">
      <w:pPr>
        <w:widowControl w:val="0"/>
        <w:autoSpaceDE w:val="0"/>
        <w:autoSpaceDN w:val="0"/>
        <w:adjustRightInd w:val="0"/>
        <w:rPr>
          <w:rFonts w:ascii="Times New Roman" w:hAnsi="Times New Roman" w:cs="Times New Roman"/>
          <w:color w:val="000000"/>
          <w:sz w:val="20"/>
          <w:szCs w:val="20"/>
        </w:rPr>
      </w:pPr>
      <w:r w:rsidRPr="009D4BC8">
        <w:rPr>
          <w:rFonts w:ascii="Times New Roman" w:hAnsi="Times New Roman" w:cs="Times New Roman"/>
          <w:color w:val="000000"/>
          <w:sz w:val="20"/>
          <w:szCs w:val="20"/>
        </w:rPr>
        <w:t xml:space="preserve"> By sanctioning </w:t>
      </w:r>
      <w:r>
        <w:rPr>
          <w:rFonts w:ascii="Times New Roman" w:hAnsi="Times New Roman" w:cs="Times New Roman"/>
          <w:color w:val="000000"/>
          <w:sz w:val="20"/>
          <w:szCs w:val="20"/>
        </w:rPr>
        <w:t xml:space="preserve">only </w:t>
      </w:r>
      <w:r w:rsidRPr="009D4BC8">
        <w:rPr>
          <w:rFonts w:ascii="Times New Roman" w:hAnsi="Times New Roman" w:cs="Times New Roman"/>
          <w:color w:val="000000"/>
          <w:sz w:val="20"/>
          <w:szCs w:val="20"/>
        </w:rPr>
        <w:t xml:space="preserve">“red-faced” violations of the collaborative agreement, such as the secret research group formed by Lilly outside the informal exchanges created by the agreement itself, the court did not attempt to regulate the nature or course of the collaborative interactions. Thus, the maintenance of the collaboration protocols established by the parties, and the resulting specific investments in information exchange, was left entirely within the province of the internally generated, informal enforcement mechanism.  The formal enforcement only excluded a (secret) alternative process that undermined the trust that was in fact generated through </w:t>
      </w:r>
      <w:r>
        <w:rPr>
          <w:rFonts w:ascii="Times New Roman" w:hAnsi="Times New Roman" w:cs="Times New Roman"/>
          <w:color w:val="000000"/>
          <w:sz w:val="20"/>
          <w:szCs w:val="20"/>
        </w:rPr>
        <w:t>collaboration</w:t>
      </w:r>
      <w:r w:rsidRPr="009D4BC8">
        <w:rPr>
          <w:rFonts w:ascii="Times New Roman" w:hAnsi="Times New Roman" w:cs="Times New Roman"/>
          <w:color w:val="000000"/>
          <w:sz w:val="20"/>
          <w:szCs w:val="20"/>
        </w:rPr>
        <w:t xml:space="preserve">.  </w:t>
      </w:r>
    </w:p>
    <w:p w14:paraId="34A7DA70" w14:textId="77777777" w:rsidR="00A1412B" w:rsidRDefault="00A1412B" w:rsidP="009D4BC8">
      <w:pPr>
        <w:pStyle w:val="FootnoteText"/>
        <w:ind w:firstLine="0"/>
        <w:jc w:val="both"/>
      </w:pPr>
    </w:p>
  </w:footnote>
  <w:footnote w:id="63">
    <w:p w14:paraId="3825B1D0" w14:textId="5573AE98" w:rsidR="00A1412B" w:rsidRPr="00373BBC" w:rsidRDefault="00A1412B" w:rsidP="00373BBC">
      <w:pPr>
        <w:tabs>
          <w:tab w:val="left" w:pos="0"/>
          <w:tab w:val="center" w:pos="4680"/>
          <w:tab w:val="left" w:pos="5040"/>
          <w:tab w:val="left" w:pos="5760"/>
          <w:tab w:val="left" w:pos="6480"/>
          <w:tab w:val="left" w:pos="7200"/>
          <w:tab w:val="left" w:pos="7920"/>
          <w:tab w:val="left" w:pos="8636"/>
          <w:tab w:val="right" w:pos="9360"/>
        </w:tabs>
        <w:spacing w:after="180"/>
        <w:rPr>
          <w:rFonts w:ascii="Times New Roman" w:hAnsi="Times New Roman" w:cs="Times New Roman"/>
          <w:sz w:val="20"/>
          <w:szCs w:val="20"/>
        </w:rPr>
      </w:pPr>
      <w:r>
        <w:rPr>
          <w:rFonts w:ascii="Times New Roman" w:hAnsi="Times New Roman" w:cs="Times New Roman"/>
          <w:sz w:val="20"/>
          <w:szCs w:val="20"/>
        </w:rPr>
        <w:tab/>
      </w:r>
      <w:r w:rsidRPr="009D4BC8">
        <w:rPr>
          <w:rStyle w:val="FootnoteReference"/>
          <w:rFonts w:ascii="Times New Roman" w:hAnsi="Times New Roman"/>
          <w:sz w:val="20"/>
          <w:szCs w:val="20"/>
        </w:rPr>
        <w:footnoteRef/>
      </w:r>
      <w:r w:rsidRPr="009D4BC8">
        <w:rPr>
          <w:rFonts w:ascii="Times New Roman" w:hAnsi="Times New Roman" w:cs="Times New Roman"/>
          <w:sz w:val="20"/>
          <w:szCs w:val="20"/>
        </w:rPr>
        <w:t xml:space="preserve">  The problem here</w:t>
      </w:r>
      <w:r>
        <w:rPr>
          <w:rFonts w:ascii="Times New Roman" w:hAnsi="Times New Roman" w:cs="Times New Roman"/>
          <w:sz w:val="20"/>
          <w:szCs w:val="20"/>
        </w:rPr>
        <w:t xml:space="preserve"> </w:t>
      </w:r>
      <w:r w:rsidRPr="009D4BC8">
        <w:rPr>
          <w:rFonts w:ascii="Times New Roman" w:hAnsi="Times New Roman" w:cs="Times New Roman"/>
          <w:sz w:val="20"/>
          <w:szCs w:val="20"/>
        </w:rPr>
        <w:t xml:space="preserve">is that </w:t>
      </w:r>
      <w:r>
        <w:rPr>
          <w:rFonts w:ascii="Times New Roman" w:hAnsi="Times New Roman" w:cs="Times New Roman"/>
          <w:sz w:val="20"/>
          <w:szCs w:val="20"/>
        </w:rPr>
        <w:t>a generalist court</w:t>
      </w:r>
      <w:r w:rsidRPr="009D4BC8">
        <w:rPr>
          <w:rFonts w:ascii="Times New Roman" w:hAnsi="Times New Roman" w:cs="Times New Roman"/>
          <w:sz w:val="20"/>
          <w:szCs w:val="20"/>
        </w:rPr>
        <w:t xml:space="preserve"> is (and will remain) largely ignorant of the common knowledge of the trade</w:t>
      </w:r>
      <w:r>
        <w:rPr>
          <w:rFonts w:ascii="Times New Roman" w:hAnsi="Times New Roman" w:cs="Times New Roman"/>
          <w:sz w:val="20"/>
          <w:szCs w:val="20"/>
        </w:rPr>
        <w:t>.</w:t>
      </w:r>
      <w:r w:rsidRPr="009D4BC8">
        <w:rPr>
          <w:rFonts w:ascii="Times New Roman" w:hAnsi="Times New Roman" w:cs="Times New Roman"/>
          <w:sz w:val="20"/>
          <w:szCs w:val="20"/>
        </w:rPr>
        <w:t xml:space="preserve"> The goal of the </w:t>
      </w:r>
      <w:r>
        <w:rPr>
          <w:rFonts w:ascii="Times New Roman" w:hAnsi="Times New Roman" w:cs="Times New Roman"/>
          <w:sz w:val="20"/>
          <w:szCs w:val="20"/>
        </w:rPr>
        <w:t xml:space="preserve">collective </w:t>
      </w:r>
      <w:r w:rsidRPr="009D4BC8">
        <w:rPr>
          <w:rFonts w:ascii="Times New Roman" w:hAnsi="Times New Roman" w:cs="Times New Roman"/>
          <w:sz w:val="20"/>
          <w:szCs w:val="20"/>
        </w:rPr>
        <w:t xml:space="preserve">regime that emerges is to </w:t>
      </w:r>
      <w:r>
        <w:rPr>
          <w:rFonts w:ascii="Times New Roman" w:hAnsi="Times New Roman" w:cs="Times New Roman"/>
          <w:sz w:val="20"/>
          <w:szCs w:val="20"/>
        </w:rPr>
        <w:t xml:space="preserve">design contracts </w:t>
      </w:r>
      <w:r w:rsidRPr="009D4BC8">
        <w:rPr>
          <w:rFonts w:ascii="Times New Roman" w:hAnsi="Times New Roman" w:cs="Times New Roman"/>
          <w:sz w:val="20"/>
          <w:szCs w:val="20"/>
        </w:rPr>
        <w:t>in ways that a) renders insider understanding in terms that can be incorporated into everyday contracting, b) establishes methods for the expeditious resolution of disputes arising under these agreements, and c) institutionalizes a process for keeping terms and forms of dispute resolution abreast of developments in the economic environment.</w:t>
      </w:r>
      <w:r>
        <w:rPr>
          <w:rFonts w:ascii="Times New Roman" w:hAnsi="Times New Roman" w:cs="Times New Roman"/>
          <w:sz w:val="20"/>
          <w:szCs w:val="20"/>
        </w:rPr>
        <w:t xml:space="preserve">  Gilson, </w:t>
      </w:r>
      <w:proofErr w:type="spellStart"/>
      <w:r>
        <w:rPr>
          <w:rFonts w:ascii="Times New Roman" w:hAnsi="Times New Roman" w:cs="Times New Roman"/>
          <w:sz w:val="20"/>
          <w:szCs w:val="20"/>
        </w:rPr>
        <w:t>Sabel</w:t>
      </w:r>
      <w:proofErr w:type="spellEnd"/>
      <w:r>
        <w:rPr>
          <w:rFonts w:ascii="Times New Roman" w:hAnsi="Times New Roman" w:cs="Times New Roman"/>
          <w:sz w:val="20"/>
          <w:szCs w:val="20"/>
        </w:rPr>
        <w:t xml:space="preserve"> &amp; Scott, </w:t>
      </w:r>
      <w:r>
        <w:rPr>
          <w:rFonts w:ascii="Times New Roman" w:hAnsi="Times New Roman" w:cs="Times New Roman"/>
          <w:i/>
          <w:sz w:val="20"/>
          <w:szCs w:val="20"/>
        </w:rPr>
        <w:t xml:space="preserve">Contract and Innovation, </w:t>
      </w:r>
      <w:r>
        <w:rPr>
          <w:rFonts w:ascii="Times New Roman" w:hAnsi="Times New Roman" w:cs="Times New Roman"/>
          <w:sz w:val="20"/>
          <w:szCs w:val="20"/>
        </w:rPr>
        <w:t>supra note – at 200-02.</w:t>
      </w:r>
    </w:p>
  </w:footnote>
  <w:footnote w:id="64">
    <w:p w14:paraId="6684A8C1" w14:textId="6D047E3C" w:rsidR="00A1412B" w:rsidRDefault="00A1412B" w:rsidP="003D34F6">
      <w:pPr>
        <w:pStyle w:val="FootnoteText"/>
        <w:spacing w:line="240" w:lineRule="auto"/>
        <w:rPr>
          <w:sz w:val="20"/>
          <w:szCs w:val="20"/>
        </w:rPr>
      </w:pPr>
      <w:r w:rsidRPr="003D34F6">
        <w:rPr>
          <w:rStyle w:val="FootnoteReference"/>
          <w:sz w:val="20"/>
          <w:szCs w:val="20"/>
        </w:rPr>
        <w:footnoteRef/>
      </w:r>
      <w:r w:rsidRPr="003D34F6">
        <w:rPr>
          <w:sz w:val="20"/>
          <w:szCs w:val="20"/>
        </w:rPr>
        <w:t xml:space="preserve"> </w:t>
      </w:r>
      <w:r w:rsidRPr="003D34F6">
        <w:rPr>
          <w:bCs/>
          <w:sz w:val="20"/>
          <w:szCs w:val="20"/>
        </w:rPr>
        <w:t>The cont</w:t>
      </w:r>
      <w:r>
        <w:rPr>
          <w:bCs/>
          <w:sz w:val="20"/>
          <w:szCs w:val="20"/>
        </w:rPr>
        <w:t>racting</w:t>
      </w:r>
      <w:r w:rsidRPr="003D34F6">
        <w:rPr>
          <w:bCs/>
          <w:sz w:val="20"/>
          <w:szCs w:val="20"/>
        </w:rPr>
        <w:t xml:space="preserve"> regime in the U.S. cotton </w:t>
      </w:r>
      <w:proofErr w:type="gramStart"/>
      <w:r w:rsidRPr="003D34F6">
        <w:rPr>
          <w:bCs/>
          <w:sz w:val="20"/>
          <w:szCs w:val="20"/>
        </w:rPr>
        <w:t>industry</w:t>
      </w:r>
      <w:r>
        <w:rPr>
          <w:bCs/>
          <w:sz w:val="20"/>
          <w:szCs w:val="20"/>
        </w:rPr>
        <w:t>,</w:t>
      </w:r>
      <w:r w:rsidRPr="003D34F6">
        <w:rPr>
          <w:bCs/>
          <w:sz w:val="20"/>
          <w:szCs w:val="20"/>
        </w:rPr>
        <w:t xml:space="preserve"> </w:t>
      </w:r>
      <w:r>
        <w:rPr>
          <w:bCs/>
          <w:sz w:val="20"/>
          <w:szCs w:val="20"/>
        </w:rPr>
        <w:t>that</w:t>
      </w:r>
      <w:proofErr w:type="gramEnd"/>
      <w:r>
        <w:rPr>
          <w:bCs/>
          <w:sz w:val="20"/>
          <w:szCs w:val="20"/>
        </w:rPr>
        <w:t xml:space="preserve"> </w:t>
      </w:r>
      <w:r w:rsidRPr="003D34F6">
        <w:rPr>
          <w:bCs/>
          <w:sz w:val="20"/>
          <w:szCs w:val="20"/>
        </w:rPr>
        <w:t xml:space="preserve">originated in the </w:t>
      </w:r>
      <w:proofErr w:type="spellStart"/>
      <w:r w:rsidRPr="003D34F6">
        <w:rPr>
          <w:bCs/>
          <w:sz w:val="20"/>
          <w:szCs w:val="20"/>
        </w:rPr>
        <w:t>mid 19</w:t>
      </w:r>
      <w:r w:rsidRPr="003D34F6">
        <w:rPr>
          <w:bCs/>
          <w:sz w:val="20"/>
          <w:szCs w:val="20"/>
          <w:vertAlign w:val="superscript"/>
        </w:rPr>
        <w:t>th</w:t>
      </w:r>
      <w:proofErr w:type="spellEnd"/>
      <w:r w:rsidRPr="003D34F6">
        <w:rPr>
          <w:bCs/>
          <w:sz w:val="20"/>
          <w:szCs w:val="20"/>
        </w:rPr>
        <w:t xml:space="preserve"> century and took on its modern form in the 1920s, is a prominent example of this cluster of functions.</w:t>
      </w:r>
      <w:r>
        <w:rPr>
          <w:bCs/>
          <w:sz w:val="20"/>
          <w:szCs w:val="20"/>
        </w:rPr>
        <w:t xml:space="preserve">  </w:t>
      </w:r>
      <w:r w:rsidRPr="00AD65E5">
        <w:rPr>
          <w:sz w:val="20"/>
          <w:szCs w:val="20"/>
        </w:rPr>
        <w:t xml:space="preserve">Lisa Bernstein, </w:t>
      </w:r>
      <w:r w:rsidRPr="00AD65E5">
        <w:rPr>
          <w:i/>
          <w:sz w:val="20"/>
          <w:szCs w:val="20"/>
        </w:rPr>
        <w:t>Private Commerci</w:t>
      </w:r>
      <w:r>
        <w:rPr>
          <w:i/>
          <w:sz w:val="20"/>
          <w:szCs w:val="20"/>
        </w:rPr>
        <w:t xml:space="preserve">al Law in the Cotton Industry: </w:t>
      </w:r>
      <w:r w:rsidRPr="00AD65E5">
        <w:rPr>
          <w:i/>
          <w:sz w:val="20"/>
          <w:szCs w:val="20"/>
        </w:rPr>
        <w:t xml:space="preserve">Creating Cooperation </w:t>
      </w:r>
      <w:proofErr w:type="gramStart"/>
      <w:r w:rsidRPr="00AD65E5">
        <w:rPr>
          <w:i/>
          <w:sz w:val="20"/>
          <w:szCs w:val="20"/>
        </w:rPr>
        <w:t>Through</w:t>
      </w:r>
      <w:proofErr w:type="gramEnd"/>
      <w:r w:rsidRPr="00AD65E5">
        <w:rPr>
          <w:i/>
          <w:sz w:val="20"/>
          <w:szCs w:val="20"/>
        </w:rPr>
        <w:t xml:space="preserve"> Rules, Norms, and Institutions,</w:t>
      </w:r>
      <w:r w:rsidRPr="00AD65E5">
        <w:rPr>
          <w:sz w:val="20"/>
          <w:szCs w:val="20"/>
        </w:rPr>
        <w:t xml:space="preserve"> 99 Mich. L. Rev. 1724, 1745-54 (2001). </w:t>
      </w:r>
      <w:r>
        <w:rPr>
          <w:sz w:val="20"/>
          <w:szCs w:val="20"/>
        </w:rPr>
        <w:t xml:space="preserve">For discussion of analogous multilateral regimes, see Lisa Bernstein, </w:t>
      </w:r>
      <w:r w:rsidRPr="00ED46CB">
        <w:rPr>
          <w:i/>
          <w:sz w:val="20"/>
          <w:szCs w:val="20"/>
        </w:rPr>
        <w:t>Opting out of the Legal System: Extralegal Contractual Relationships in the Diamond Industry</w:t>
      </w:r>
      <w:r w:rsidRPr="00AD65E5">
        <w:rPr>
          <w:sz w:val="20"/>
          <w:szCs w:val="20"/>
        </w:rPr>
        <w:t>, 21 J. Leg. Stud. 115 (1992); Lisa Bernstein,</w:t>
      </w:r>
      <w:r w:rsidRPr="00AD65E5">
        <w:rPr>
          <w:i/>
          <w:sz w:val="20"/>
          <w:szCs w:val="20"/>
        </w:rPr>
        <w:t xml:space="preserve"> Merchant Law in a Merchant Court:  Rethinking the Code’s Search for Immanent Business Norms</w:t>
      </w:r>
      <w:r w:rsidRPr="00AD65E5">
        <w:rPr>
          <w:sz w:val="20"/>
          <w:szCs w:val="20"/>
        </w:rPr>
        <w:t>, 144 U. P</w:t>
      </w:r>
      <w:r>
        <w:rPr>
          <w:sz w:val="20"/>
          <w:szCs w:val="20"/>
        </w:rPr>
        <w:t>a. L. Rev. 1765, 1771-77 (1996).</w:t>
      </w:r>
    </w:p>
    <w:p w14:paraId="42F7F273" w14:textId="77777777" w:rsidR="00A1412B" w:rsidRPr="003D34F6" w:rsidRDefault="00A1412B" w:rsidP="003D34F6">
      <w:pPr>
        <w:pStyle w:val="FootnoteText"/>
        <w:spacing w:line="240" w:lineRule="auto"/>
        <w:rPr>
          <w:sz w:val="20"/>
          <w:szCs w:val="20"/>
        </w:rPr>
      </w:pPr>
    </w:p>
  </w:footnote>
  <w:footnote w:id="65">
    <w:p w14:paraId="032E1B3D" w14:textId="4568E81F" w:rsidR="00A1412B" w:rsidRDefault="00A1412B" w:rsidP="00CD4883">
      <w:pPr>
        <w:pStyle w:val="FootnoteText"/>
        <w:tabs>
          <w:tab w:val="left" w:pos="-720"/>
        </w:tabs>
        <w:spacing w:line="240" w:lineRule="auto"/>
        <w:ind w:firstLine="0"/>
        <w:rPr>
          <w:sz w:val="20"/>
          <w:szCs w:val="20"/>
        </w:rPr>
      </w:pPr>
      <w:r>
        <w:tab/>
      </w:r>
      <w:r>
        <w:rPr>
          <w:rStyle w:val="FootnoteReference"/>
        </w:rPr>
        <w:footnoteRef/>
      </w:r>
      <w:r>
        <w:t xml:space="preserve"> </w:t>
      </w:r>
      <w:r w:rsidRPr="0017404D">
        <w:rPr>
          <w:i/>
          <w:sz w:val="20"/>
          <w:szCs w:val="20"/>
        </w:rPr>
        <w:t xml:space="preserve">See </w:t>
      </w:r>
      <w:r>
        <w:rPr>
          <w:sz w:val="20"/>
          <w:szCs w:val="20"/>
        </w:rPr>
        <w:t xml:space="preserve">Bernstein, </w:t>
      </w:r>
      <w:proofErr w:type="gramStart"/>
      <w:r>
        <w:rPr>
          <w:i/>
          <w:sz w:val="20"/>
          <w:szCs w:val="20"/>
        </w:rPr>
        <w:t>Cotton,</w:t>
      </w:r>
      <w:proofErr w:type="gramEnd"/>
      <w:r>
        <w:rPr>
          <w:i/>
          <w:sz w:val="20"/>
          <w:szCs w:val="20"/>
        </w:rPr>
        <w:t xml:space="preserve"> </w:t>
      </w:r>
      <w:r>
        <w:rPr>
          <w:sz w:val="20"/>
          <w:szCs w:val="20"/>
        </w:rPr>
        <w:t>supra note 61</w:t>
      </w:r>
      <w:r w:rsidRPr="0017404D">
        <w:rPr>
          <w:sz w:val="20"/>
          <w:szCs w:val="20"/>
        </w:rPr>
        <w:t xml:space="preserve"> at 1743–44 (describing the informal flexibility of </w:t>
      </w:r>
      <w:proofErr w:type="spellStart"/>
      <w:r w:rsidRPr="0017404D">
        <w:rPr>
          <w:sz w:val="20"/>
          <w:szCs w:val="20"/>
        </w:rPr>
        <w:t>transactors</w:t>
      </w:r>
      <w:proofErr w:type="spellEnd"/>
      <w:r w:rsidRPr="0017404D">
        <w:rPr>
          <w:sz w:val="20"/>
          <w:szCs w:val="20"/>
        </w:rPr>
        <w:t xml:space="preserve"> and the importance of adjudicative unwillingness to transform this flexibility into an obligation).</w:t>
      </w:r>
    </w:p>
    <w:p w14:paraId="3A9AA7BC" w14:textId="5AEE4DDE" w:rsidR="00A1412B" w:rsidRDefault="00A1412B">
      <w:pPr>
        <w:pStyle w:val="FootnoteText"/>
      </w:pPr>
    </w:p>
  </w:footnote>
  <w:footnote w:id="66">
    <w:p w14:paraId="4E03DB27" w14:textId="6DC3CFED" w:rsidR="00A1412B" w:rsidRDefault="00A1412B" w:rsidP="000150F8">
      <w:pPr>
        <w:pStyle w:val="FootNote"/>
        <w:spacing w:line="240" w:lineRule="auto"/>
        <w:jc w:val="left"/>
        <w:rPr>
          <w:rFonts w:ascii="Times New Roman" w:hAnsi="Times New Roman"/>
          <w:sz w:val="20"/>
        </w:rPr>
      </w:pPr>
      <w:r>
        <w:tab/>
      </w:r>
      <w:r>
        <w:tab/>
        <w:t xml:space="preserve">  </w:t>
      </w:r>
      <w:r w:rsidRPr="003D34F6">
        <w:rPr>
          <w:rStyle w:val="FootnoteReference"/>
          <w:rFonts w:ascii="Times New Roman" w:hAnsi="Times New Roman"/>
          <w:sz w:val="20"/>
        </w:rPr>
        <w:footnoteRef/>
      </w:r>
      <w:r w:rsidRPr="003D34F6">
        <w:rPr>
          <w:rFonts w:ascii="Times New Roman" w:hAnsi="Times New Roman"/>
          <w:sz w:val="20"/>
        </w:rPr>
        <w:t xml:space="preserve"> The problem with sales law contracts governed by the UCC is that the number of parties, their relatively small size, and the idiosyncrasies of their dealings makes the development of an interpretive community such as the cotton market, infeasible. The heightened risk of error by a generalist court seeking to police shading is a function of two core problems.  The first is the growing evidence that, even in a stable world, custom and practice do not tend towards the kind of </w:t>
      </w:r>
      <w:proofErr w:type="spellStart"/>
      <w:r w:rsidRPr="003D34F6">
        <w:rPr>
          <w:rFonts w:ascii="Times New Roman" w:hAnsi="Times New Roman"/>
          <w:sz w:val="20"/>
        </w:rPr>
        <w:t>equillibria</w:t>
      </w:r>
      <w:proofErr w:type="spellEnd"/>
      <w:r w:rsidRPr="003D34F6">
        <w:rPr>
          <w:rFonts w:ascii="Times New Roman" w:hAnsi="Times New Roman"/>
          <w:sz w:val="20"/>
        </w:rPr>
        <w:t xml:space="preserve"> that can be captured in a rule, and that in a world of uncertainty even such jittery constancy as exists in commercial practice in quiet environments is constantly changing in response to exogenous and endogenous factors.</w:t>
      </w:r>
      <w:r w:rsidRPr="003D34F6">
        <w:rPr>
          <w:rFonts w:ascii="Times New Roman" w:hAnsi="Times New Roman"/>
          <w:i/>
          <w:sz w:val="20"/>
        </w:rPr>
        <w:t xml:space="preserve"> See</w:t>
      </w:r>
      <w:r w:rsidRPr="003D34F6">
        <w:rPr>
          <w:rFonts w:ascii="Times New Roman" w:hAnsi="Times New Roman"/>
          <w:sz w:val="20"/>
        </w:rPr>
        <w:t xml:space="preserve"> Bernstein, </w:t>
      </w:r>
      <w:r w:rsidRPr="003D34F6">
        <w:rPr>
          <w:rFonts w:ascii="Times New Roman" w:hAnsi="Times New Roman"/>
          <w:i/>
          <w:sz w:val="20"/>
        </w:rPr>
        <w:t>Private Commercial Law in the Cotton Industry</w:t>
      </w:r>
      <w:r w:rsidRPr="003D34F6">
        <w:rPr>
          <w:rFonts w:ascii="Times New Roman" w:hAnsi="Times New Roman"/>
          <w:sz w:val="20"/>
        </w:rPr>
        <w:t xml:space="preserve">, </w:t>
      </w:r>
      <w:r w:rsidRPr="003D34F6">
        <w:rPr>
          <w:rFonts w:ascii="Times New Roman" w:hAnsi="Times New Roman"/>
          <w:i/>
          <w:sz w:val="20"/>
        </w:rPr>
        <w:t>supra</w:t>
      </w:r>
      <w:r w:rsidRPr="003D34F6">
        <w:rPr>
          <w:rFonts w:ascii="Times New Roman" w:hAnsi="Times New Roman"/>
          <w:sz w:val="20"/>
        </w:rPr>
        <w:t xml:space="preserve"> note --, at 1743–44, 1775–76 (discussing the interaction of exogenous factors and endogenous shading responses by the parties).  In short, there may not be any stable custom or usage for the court to find as a fact as the legal doctrine currently assumes can be done.  Second, and perhaps for the foregoing reasons, there is growing evidence that generalist courts do not to even try to find the relevant custom and usages.  This evidence suggests that many courts, lacking expertise, rely on interested party testimony and unsupported assumptions of reasonable commercial behavior rather than a careful evaluation of complex evidentiary submissions</w:t>
      </w:r>
      <w:r>
        <w:rPr>
          <w:rFonts w:ascii="Times New Roman" w:hAnsi="Times New Roman"/>
          <w:sz w:val="20"/>
        </w:rPr>
        <w:t xml:space="preserve">. </w:t>
      </w:r>
      <w:r w:rsidRPr="003D34F6">
        <w:rPr>
          <w:rFonts w:ascii="Times New Roman" w:hAnsi="Times New Roman"/>
          <w:sz w:val="20"/>
        </w:rPr>
        <w:t xml:space="preserve">Bernstein, </w:t>
      </w:r>
      <w:r w:rsidRPr="003D34F6">
        <w:rPr>
          <w:rFonts w:ascii="Times New Roman" w:hAnsi="Times New Roman"/>
          <w:i/>
          <w:color w:val="000000" w:themeColor="text1"/>
          <w:sz w:val="20"/>
        </w:rPr>
        <w:t>Trade Usage in the Courts</w:t>
      </w:r>
      <w:r w:rsidRPr="003D34F6">
        <w:rPr>
          <w:rFonts w:ascii="Times New Roman" w:hAnsi="Times New Roman"/>
          <w:color w:val="000000" w:themeColor="text1"/>
          <w:sz w:val="20"/>
        </w:rPr>
        <w:t xml:space="preserve">, </w:t>
      </w:r>
      <w:r w:rsidRPr="003D34F6">
        <w:rPr>
          <w:rFonts w:ascii="Times New Roman" w:hAnsi="Times New Roman"/>
          <w:i/>
          <w:color w:val="000000" w:themeColor="text1"/>
          <w:sz w:val="20"/>
        </w:rPr>
        <w:t>supra</w:t>
      </w:r>
      <w:r>
        <w:rPr>
          <w:rFonts w:ascii="Times New Roman" w:hAnsi="Times New Roman"/>
          <w:color w:val="000000" w:themeColor="text1"/>
          <w:sz w:val="20"/>
        </w:rPr>
        <w:t xml:space="preserve"> note --s</w:t>
      </w:r>
      <w:r w:rsidRPr="003D34F6">
        <w:rPr>
          <w:rFonts w:ascii="Times New Roman" w:hAnsi="Times New Roman"/>
          <w:caps/>
          <w:color w:val="000000" w:themeColor="text1"/>
          <w:sz w:val="20"/>
        </w:rPr>
        <w:t xml:space="preserve"> </w:t>
      </w:r>
      <w:r w:rsidRPr="003D34F6">
        <w:rPr>
          <w:rFonts w:ascii="Times New Roman" w:hAnsi="Times New Roman"/>
          <w:sz w:val="20"/>
        </w:rPr>
        <w:t>at 14–18.</w:t>
      </w:r>
    </w:p>
    <w:p w14:paraId="1CF297B9" w14:textId="77777777" w:rsidR="00A1412B" w:rsidRPr="003D34F6" w:rsidRDefault="00A1412B" w:rsidP="003D34F6">
      <w:pPr>
        <w:pStyle w:val="FootNote"/>
        <w:spacing w:line="240" w:lineRule="auto"/>
        <w:rPr>
          <w:rFonts w:ascii="Times New Roman" w:hAnsi="Times New Roman"/>
          <w:sz w:val="20"/>
        </w:rPr>
      </w:pPr>
    </w:p>
  </w:footnote>
  <w:footnote w:id="67">
    <w:p w14:paraId="0687D1D2" w14:textId="28D41384" w:rsidR="00A1412B" w:rsidRDefault="00A1412B" w:rsidP="003F38D1">
      <w:pPr>
        <w:pStyle w:val="FootnoteText"/>
        <w:spacing w:line="240" w:lineRule="auto"/>
        <w:ind w:firstLine="0"/>
        <w:rPr>
          <w:sz w:val="20"/>
          <w:szCs w:val="20"/>
        </w:rPr>
      </w:pPr>
      <w:r>
        <w:t xml:space="preserve">         </w:t>
      </w:r>
      <w:r w:rsidRPr="004E2439">
        <w:rPr>
          <w:rStyle w:val="FootnoteReference"/>
          <w:sz w:val="20"/>
          <w:szCs w:val="20"/>
        </w:rPr>
        <w:footnoteRef/>
      </w:r>
      <w:r>
        <w:t xml:space="preserve"> </w:t>
      </w:r>
      <w:r w:rsidRPr="00C366FA">
        <w:rPr>
          <w:sz w:val="20"/>
          <w:szCs w:val="20"/>
        </w:rPr>
        <w:t xml:space="preserve">This section draws on Gilson, </w:t>
      </w:r>
      <w:proofErr w:type="spellStart"/>
      <w:r w:rsidRPr="00C366FA">
        <w:rPr>
          <w:sz w:val="20"/>
          <w:szCs w:val="20"/>
        </w:rPr>
        <w:t>Sabel</w:t>
      </w:r>
      <w:proofErr w:type="spellEnd"/>
      <w:r w:rsidRPr="00C366FA">
        <w:rPr>
          <w:sz w:val="20"/>
          <w:szCs w:val="20"/>
        </w:rPr>
        <w:t xml:space="preserve"> &amp; Scott, </w:t>
      </w:r>
      <w:r w:rsidRPr="00C366FA">
        <w:rPr>
          <w:i/>
          <w:sz w:val="20"/>
          <w:szCs w:val="20"/>
        </w:rPr>
        <w:t xml:space="preserve">Text </w:t>
      </w:r>
      <w:r w:rsidRPr="00C366FA">
        <w:rPr>
          <w:sz w:val="20"/>
          <w:szCs w:val="20"/>
        </w:rPr>
        <w:t xml:space="preserve">and </w:t>
      </w:r>
      <w:r w:rsidRPr="00C366FA">
        <w:rPr>
          <w:i/>
          <w:sz w:val="20"/>
          <w:szCs w:val="20"/>
        </w:rPr>
        <w:t xml:space="preserve">Context, </w:t>
      </w:r>
      <w:r>
        <w:rPr>
          <w:sz w:val="20"/>
          <w:szCs w:val="20"/>
        </w:rPr>
        <w:t xml:space="preserve">supra </w:t>
      </w:r>
      <w:proofErr w:type="gramStart"/>
      <w:r>
        <w:rPr>
          <w:sz w:val="20"/>
          <w:szCs w:val="20"/>
        </w:rPr>
        <w:t xml:space="preserve">note38 </w:t>
      </w:r>
      <w:r w:rsidRPr="00C366FA">
        <w:rPr>
          <w:sz w:val="20"/>
          <w:szCs w:val="20"/>
        </w:rPr>
        <w:t xml:space="preserve"> at</w:t>
      </w:r>
      <w:proofErr w:type="gramEnd"/>
      <w:r w:rsidRPr="00C366FA">
        <w:rPr>
          <w:sz w:val="20"/>
          <w:szCs w:val="20"/>
        </w:rPr>
        <w:t xml:space="preserve"> ---.</w:t>
      </w:r>
    </w:p>
    <w:p w14:paraId="3661F0F6" w14:textId="77777777" w:rsidR="00A1412B" w:rsidRPr="00C366FA" w:rsidRDefault="00A1412B" w:rsidP="003F38D1">
      <w:pPr>
        <w:pStyle w:val="FootnoteText"/>
        <w:spacing w:line="240" w:lineRule="auto"/>
        <w:ind w:firstLine="0"/>
        <w:rPr>
          <w:sz w:val="20"/>
          <w:szCs w:val="20"/>
        </w:rPr>
      </w:pPr>
    </w:p>
  </w:footnote>
  <w:footnote w:id="68">
    <w:p w14:paraId="31EED37D" w14:textId="282E4325" w:rsidR="00A1412B" w:rsidRPr="001E7DF3" w:rsidRDefault="00A1412B" w:rsidP="001E7DF3">
      <w:pPr>
        <w:rPr>
          <w:rFonts w:ascii="Times New Roman" w:hAnsi="Times New Roman" w:cs="Times New Roman"/>
          <w:sz w:val="20"/>
          <w:szCs w:val="20"/>
        </w:rPr>
      </w:pPr>
      <w:r>
        <w:tab/>
      </w:r>
      <w:r w:rsidRPr="001E7DF3">
        <w:rPr>
          <w:rStyle w:val="NoterefInNote"/>
          <w:rFonts w:ascii="Times New Roman" w:hAnsi="Times New Roman" w:cs="Times New Roman"/>
          <w:sz w:val="16"/>
          <w:szCs w:val="16"/>
        </w:rPr>
        <w:footnoteRef/>
      </w:r>
      <w:r w:rsidRPr="001E7DF3">
        <w:rPr>
          <w:rFonts w:ascii="Times New Roman" w:hAnsi="Times New Roman" w:cs="Times New Roman"/>
          <w:sz w:val="20"/>
          <w:szCs w:val="20"/>
        </w:rPr>
        <w:t xml:space="preserve"> </w:t>
      </w:r>
      <w:r w:rsidRPr="001E7DF3">
        <w:rPr>
          <w:rFonts w:ascii="Times New Roman" w:hAnsi="Times New Roman" w:cs="Times New Roman"/>
          <w:i/>
          <w:sz w:val="20"/>
          <w:szCs w:val="20"/>
        </w:rPr>
        <w:t>See</w:t>
      </w:r>
      <w:r w:rsidRPr="001E7DF3">
        <w:rPr>
          <w:rFonts w:ascii="Times New Roman" w:hAnsi="Times New Roman" w:cs="Times New Roman"/>
          <w:sz w:val="20"/>
          <w:szCs w:val="20"/>
        </w:rPr>
        <w:t xml:space="preserve"> Robert </w:t>
      </w:r>
      <w:proofErr w:type="spellStart"/>
      <w:r w:rsidRPr="001E7DF3">
        <w:rPr>
          <w:rFonts w:ascii="Times New Roman" w:hAnsi="Times New Roman" w:cs="Times New Roman"/>
          <w:sz w:val="20"/>
          <w:szCs w:val="20"/>
        </w:rPr>
        <w:t>Daines</w:t>
      </w:r>
      <w:proofErr w:type="spellEnd"/>
      <w:r w:rsidRPr="001E7DF3">
        <w:rPr>
          <w:rFonts w:ascii="Times New Roman" w:hAnsi="Times New Roman" w:cs="Times New Roman"/>
          <w:sz w:val="20"/>
          <w:szCs w:val="20"/>
        </w:rPr>
        <w:t xml:space="preserve"> &amp; Michael </w:t>
      </w:r>
      <w:proofErr w:type="spellStart"/>
      <w:r w:rsidRPr="001E7DF3">
        <w:rPr>
          <w:rFonts w:ascii="Times New Roman" w:hAnsi="Times New Roman" w:cs="Times New Roman"/>
          <w:sz w:val="20"/>
          <w:szCs w:val="20"/>
        </w:rPr>
        <w:t>Klausner</w:t>
      </w:r>
      <w:proofErr w:type="spellEnd"/>
      <w:r w:rsidRPr="001E7DF3">
        <w:rPr>
          <w:rFonts w:ascii="Times New Roman" w:hAnsi="Times New Roman" w:cs="Times New Roman"/>
          <w:sz w:val="20"/>
          <w:szCs w:val="20"/>
        </w:rPr>
        <w:t xml:space="preserve">, </w:t>
      </w:r>
      <w:r w:rsidRPr="001E7DF3">
        <w:rPr>
          <w:rFonts w:ascii="Times New Roman" w:hAnsi="Times New Roman" w:cs="Times New Roman"/>
          <w:i/>
          <w:sz w:val="20"/>
          <w:szCs w:val="20"/>
        </w:rPr>
        <w:t>Do IPO Charters Maximize Firm Value</w:t>
      </w:r>
      <w:proofErr w:type="gramStart"/>
      <w:r w:rsidRPr="001E7DF3">
        <w:rPr>
          <w:rFonts w:ascii="Times New Roman" w:hAnsi="Times New Roman" w:cs="Times New Roman"/>
          <w:i/>
          <w:sz w:val="20"/>
          <w:szCs w:val="20"/>
        </w:rPr>
        <w:t>?:</w:t>
      </w:r>
      <w:proofErr w:type="gramEnd"/>
      <w:r w:rsidRPr="001E7DF3">
        <w:rPr>
          <w:rFonts w:ascii="Times New Roman" w:hAnsi="Times New Roman" w:cs="Times New Roman"/>
          <w:i/>
          <w:sz w:val="20"/>
          <w:szCs w:val="20"/>
        </w:rPr>
        <w:t xml:space="preserve"> Antitakeover Protection in IPOs</w:t>
      </w:r>
      <w:r w:rsidRPr="001E7DF3">
        <w:rPr>
          <w:rFonts w:ascii="Times New Roman" w:hAnsi="Times New Roman" w:cs="Times New Roman"/>
          <w:sz w:val="20"/>
          <w:szCs w:val="20"/>
        </w:rPr>
        <w:t xml:space="preserve">, 17 </w:t>
      </w:r>
      <w:r w:rsidRPr="001E7DF3">
        <w:rPr>
          <w:rFonts w:ascii="Times New Roman" w:hAnsi="Times New Roman" w:cs="Times New Roman"/>
          <w:smallCaps/>
          <w:sz w:val="20"/>
          <w:szCs w:val="20"/>
        </w:rPr>
        <w:t xml:space="preserve">J. L. Econ. </w:t>
      </w:r>
      <w:proofErr w:type="gramStart"/>
      <w:r w:rsidRPr="001E7DF3">
        <w:rPr>
          <w:rFonts w:ascii="Times New Roman" w:hAnsi="Times New Roman" w:cs="Times New Roman"/>
          <w:smallCaps/>
          <w:sz w:val="20"/>
          <w:szCs w:val="20"/>
        </w:rPr>
        <w:t>&amp; Org.</w:t>
      </w:r>
      <w:r w:rsidRPr="001E7DF3">
        <w:rPr>
          <w:rFonts w:ascii="Times New Roman" w:hAnsi="Times New Roman" w:cs="Times New Roman"/>
          <w:sz w:val="20"/>
          <w:szCs w:val="20"/>
        </w:rPr>
        <w:t xml:space="preserve"> 83, 87 (2001).</w:t>
      </w:r>
      <w:proofErr w:type="gramEnd"/>
    </w:p>
    <w:p w14:paraId="7D220FC4" w14:textId="77777777" w:rsidR="00A1412B" w:rsidRPr="001E7DF3" w:rsidRDefault="00A1412B" w:rsidP="001E7DF3">
      <w:pPr>
        <w:rPr>
          <w:rFonts w:ascii="Times New Roman" w:hAnsi="Times New Roman" w:cs="Times New Roman"/>
          <w:sz w:val="20"/>
          <w:szCs w:val="20"/>
        </w:rPr>
      </w:pPr>
    </w:p>
  </w:footnote>
  <w:footnote w:id="69">
    <w:p w14:paraId="323440E5" w14:textId="52090890" w:rsidR="00A1412B" w:rsidRPr="001E7DF3" w:rsidRDefault="00A1412B" w:rsidP="001E7DF3">
      <w:pPr>
        <w:rPr>
          <w:rFonts w:ascii="Times New Roman" w:hAnsi="Times New Roman" w:cs="Times New Roman"/>
          <w:sz w:val="20"/>
          <w:szCs w:val="20"/>
        </w:rPr>
      </w:pPr>
      <w:r w:rsidRPr="001E7DF3">
        <w:rPr>
          <w:rFonts w:ascii="Times New Roman" w:hAnsi="Times New Roman" w:cs="Times New Roman"/>
          <w:sz w:val="20"/>
          <w:szCs w:val="20"/>
        </w:rPr>
        <w:tab/>
      </w:r>
      <w:r w:rsidRPr="001E7DF3">
        <w:rPr>
          <w:rStyle w:val="NoterefInNote"/>
          <w:rFonts w:ascii="Times New Roman" w:hAnsi="Times New Roman" w:cs="Times New Roman"/>
          <w:sz w:val="16"/>
          <w:szCs w:val="16"/>
        </w:rPr>
        <w:footnoteRef/>
      </w:r>
      <w:r w:rsidRPr="001E7DF3">
        <w:rPr>
          <w:rFonts w:ascii="Times New Roman" w:hAnsi="Times New Roman" w:cs="Times New Roman"/>
          <w:sz w:val="20"/>
          <w:szCs w:val="20"/>
        </w:rPr>
        <w:t xml:space="preserve"> </w:t>
      </w:r>
      <w:r w:rsidRPr="001E7DF3">
        <w:rPr>
          <w:rFonts w:ascii="Times New Roman" w:hAnsi="Times New Roman" w:cs="Times New Roman"/>
          <w:i/>
          <w:sz w:val="20"/>
          <w:szCs w:val="20"/>
        </w:rPr>
        <w:t>See, e.g.</w:t>
      </w:r>
      <w:r w:rsidRPr="001E7DF3">
        <w:rPr>
          <w:rFonts w:ascii="Times New Roman" w:hAnsi="Times New Roman" w:cs="Times New Roman"/>
          <w:sz w:val="20"/>
          <w:szCs w:val="20"/>
        </w:rPr>
        <w:t xml:space="preserve">, Leo E. </w:t>
      </w:r>
      <w:proofErr w:type="spellStart"/>
      <w:r w:rsidRPr="001E7DF3">
        <w:rPr>
          <w:rFonts w:ascii="Times New Roman" w:hAnsi="Times New Roman" w:cs="Times New Roman"/>
          <w:sz w:val="20"/>
          <w:szCs w:val="20"/>
        </w:rPr>
        <w:t>Strine</w:t>
      </w:r>
      <w:proofErr w:type="spellEnd"/>
      <w:r w:rsidRPr="001E7DF3">
        <w:rPr>
          <w:rFonts w:ascii="Times New Roman" w:hAnsi="Times New Roman" w:cs="Times New Roman"/>
          <w:sz w:val="20"/>
          <w:szCs w:val="20"/>
        </w:rPr>
        <w:t xml:space="preserve">, Jr., </w:t>
      </w:r>
      <w:r w:rsidRPr="001E7DF3">
        <w:rPr>
          <w:rFonts w:ascii="Times New Roman" w:hAnsi="Times New Roman" w:cs="Times New Roman"/>
          <w:i/>
          <w:sz w:val="20"/>
          <w:szCs w:val="20"/>
        </w:rPr>
        <w:t xml:space="preserve">If Corporate Action is Lawful, Presumably There Are Circumstances in </w:t>
      </w:r>
      <w:proofErr w:type="gramStart"/>
      <w:r w:rsidRPr="001E7DF3">
        <w:rPr>
          <w:rFonts w:ascii="Times New Roman" w:hAnsi="Times New Roman" w:cs="Times New Roman"/>
          <w:i/>
          <w:sz w:val="20"/>
          <w:szCs w:val="20"/>
        </w:rPr>
        <w:t>Which</w:t>
      </w:r>
      <w:proofErr w:type="gramEnd"/>
      <w:r w:rsidRPr="001E7DF3">
        <w:rPr>
          <w:rFonts w:ascii="Times New Roman" w:hAnsi="Times New Roman" w:cs="Times New Roman"/>
          <w:i/>
          <w:sz w:val="20"/>
          <w:szCs w:val="20"/>
        </w:rPr>
        <w:t xml:space="preserve"> it is Equitable to Take that Action: The Implicit Corollary to the Rule of </w:t>
      </w:r>
      <w:r w:rsidRPr="001E7DF3">
        <w:rPr>
          <w:rFonts w:ascii="Times New Roman" w:hAnsi="Times New Roman" w:cs="Times New Roman"/>
          <w:sz w:val="20"/>
          <w:szCs w:val="20"/>
        </w:rPr>
        <w:t xml:space="preserve">Schnell v. Chris-Craft, 60 </w:t>
      </w:r>
      <w:r w:rsidRPr="001E7DF3">
        <w:rPr>
          <w:rFonts w:ascii="Times New Roman" w:hAnsi="Times New Roman" w:cs="Times New Roman"/>
          <w:smallCaps/>
          <w:sz w:val="20"/>
          <w:szCs w:val="20"/>
        </w:rPr>
        <w:t xml:space="preserve">Bus. </w:t>
      </w:r>
      <w:proofErr w:type="gramStart"/>
      <w:r w:rsidRPr="001E7DF3">
        <w:rPr>
          <w:rFonts w:ascii="Times New Roman" w:hAnsi="Times New Roman" w:cs="Times New Roman"/>
          <w:smallCaps/>
          <w:sz w:val="20"/>
          <w:szCs w:val="20"/>
        </w:rPr>
        <w:t>Law.</w:t>
      </w:r>
      <w:proofErr w:type="gramEnd"/>
      <w:r w:rsidRPr="001E7DF3">
        <w:rPr>
          <w:rFonts w:ascii="Times New Roman" w:hAnsi="Times New Roman" w:cs="Times New Roman"/>
          <w:sz w:val="20"/>
          <w:szCs w:val="20"/>
        </w:rPr>
        <w:t xml:space="preserve"> 877, 882 (2005) (describing Delaware’s judiciary as being known for its “use of [the equitable principles of fiduciary duty] to restrain otherwise lawful conduct”).  Those familiar with the common structure of Chancery Court opinions will recall that there is uniformly a lengthy and very detailed account of the facts—who negotiated with whom, what did they say, etc.—in cases that apply a fiduciary standard.</w:t>
      </w:r>
    </w:p>
    <w:p w14:paraId="1EC3D5A1" w14:textId="77777777" w:rsidR="00A1412B" w:rsidRPr="001E7DF3" w:rsidRDefault="00A1412B" w:rsidP="001E7DF3">
      <w:pPr>
        <w:rPr>
          <w:rFonts w:ascii="Times New Roman" w:hAnsi="Times New Roman" w:cs="Times New Roman"/>
          <w:sz w:val="20"/>
          <w:szCs w:val="20"/>
        </w:rPr>
      </w:pPr>
    </w:p>
  </w:footnote>
  <w:footnote w:id="70">
    <w:p w14:paraId="19AA6CE8" w14:textId="66D1D290" w:rsidR="00A1412B" w:rsidRPr="001E7DF3" w:rsidRDefault="00A1412B" w:rsidP="001E7DF3">
      <w:pPr>
        <w:rPr>
          <w:rFonts w:ascii="Times New Roman" w:hAnsi="Times New Roman" w:cs="Times New Roman"/>
          <w:sz w:val="20"/>
          <w:szCs w:val="20"/>
        </w:rPr>
      </w:pPr>
      <w:r w:rsidRPr="001E7DF3">
        <w:rPr>
          <w:rFonts w:ascii="Times New Roman" w:hAnsi="Times New Roman" w:cs="Times New Roman"/>
          <w:sz w:val="20"/>
          <w:szCs w:val="20"/>
        </w:rPr>
        <w:tab/>
      </w:r>
      <w:r w:rsidRPr="001E7DF3">
        <w:rPr>
          <w:rFonts w:ascii="Times New Roman" w:hAnsi="Times New Roman" w:cs="Times New Roman"/>
          <w:sz w:val="16"/>
          <w:szCs w:val="16"/>
        </w:rPr>
        <w:t xml:space="preserve"> </w:t>
      </w:r>
      <w:r w:rsidRPr="001E7DF3">
        <w:rPr>
          <w:rStyle w:val="NoterefInNote"/>
          <w:rFonts w:ascii="Times New Roman" w:hAnsi="Times New Roman" w:cs="Times New Roman"/>
          <w:sz w:val="16"/>
          <w:szCs w:val="16"/>
        </w:rPr>
        <w:footnoteRef/>
      </w:r>
      <w:r w:rsidRPr="001E7DF3">
        <w:rPr>
          <w:rFonts w:ascii="Times New Roman" w:hAnsi="Times New Roman" w:cs="Times New Roman"/>
          <w:sz w:val="16"/>
          <w:szCs w:val="16"/>
        </w:rPr>
        <w:t xml:space="preserve"> </w:t>
      </w:r>
      <w:r w:rsidRPr="001E7DF3">
        <w:rPr>
          <w:rFonts w:ascii="Times New Roman" w:hAnsi="Times New Roman" w:cs="Times New Roman"/>
          <w:i/>
          <w:sz w:val="20"/>
          <w:szCs w:val="20"/>
        </w:rPr>
        <w:t>See</w:t>
      </w:r>
      <w:r w:rsidRPr="001E7DF3">
        <w:rPr>
          <w:rFonts w:ascii="Times New Roman" w:hAnsi="Times New Roman" w:cs="Times New Roman"/>
          <w:sz w:val="20"/>
          <w:szCs w:val="20"/>
        </w:rPr>
        <w:t xml:space="preserve"> Henry </w:t>
      </w:r>
      <w:proofErr w:type="spellStart"/>
      <w:r w:rsidRPr="001E7DF3">
        <w:rPr>
          <w:rFonts w:ascii="Times New Roman" w:hAnsi="Times New Roman" w:cs="Times New Roman"/>
          <w:sz w:val="20"/>
          <w:szCs w:val="20"/>
        </w:rPr>
        <w:t>Hansmann</w:t>
      </w:r>
      <w:proofErr w:type="spellEnd"/>
      <w:r w:rsidRPr="001E7DF3">
        <w:rPr>
          <w:rFonts w:ascii="Times New Roman" w:hAnsi="Times New Roman" w:cs="Times New Roman"/>
          <w:sz w:val="20"/>
          <w:szCs w:val="20"/>
        </w:rPr>
        <w:t xml:space="preserve">, </w:t>
      </w:r>
      <w:r w:rsidRPr="001E7DF3">
        <w:rPr>
          <w:rFonts w:ascii="Times New Roman" w:hAnsi="Times New Roman" w:cs="Times New Roman"/>
          <w:i/>
          <w:sz w:val="20"/>
          <w:szCs w:val="20"/>
        </w:rPr>
        <w:t>Corporation and Contract</w:t>
      </w:r>
      <w:r w:rsidRPr="001E7DF3">
        <w:rPr>
          <w:rFonts w:ascii="Times New Roman" w:hAnsi="Times New Roman" w:cs="Times New Roman"/>
          <w:sz w:val="20"/>
          <w:szCs w:val="20"/>
        </w:rPr>
        <w:t xml:space="preserve">, 8 </w:t>
      </w:r>
      <w:r w:rsidRPr="001E7DF3">
        <w:rPr>
          <w:rFonts w:ascii="Times New Roman" w:hAnsi="Times New Roman" w:cs="Times New Roman"/>
          <w:smallCaps/>
          <w:sz w:val="20"/>
          <w:szCs w:val="20"/>
        </w:rPr>
        <w:t xml:space="preserve">Am. </w:t>
      </w:r>
      <w:proofErr w:type="gramStart"/>
      <w:r w:rsidRPr="001E7DF3">
        <w:rPr>
          <w:rFonts w:ascii="Times New Roman" w:hAnsi="Times New Roman" w:cs="Times New Roman"/>
          <w:smallCaps/>
          <w:sz w:val="20"/>
          <w:szCs w:val="20"/>
        </w:rPr>
        <w:t>L. &amp; Econ.</w:t>
      </w:r>
      <w:proofErr w:type="gramEnd"/>
      <w:r w:rsidRPr="001E7DF3">
        <w:rPr>
          <w:rFonts w:ascii="Times New Roman" w:hAnsi="Times New Roman" w:cs="Times New Roman"/>
          <w:smallCaps/>
          <w:sz w:val="20"/>
          <w:szCs w:val="20"/>
        </w:rPr>
        <w:t xml:space="preserve"> </w:t>
      </w:r>
      <w:proofErr w:type="gramStart"/>
      <w:r w:rsidRPr="001E7DF3">
        <w:rPr>
          <w:rFonts w:ascii="Times New Roman" w:hAnsi="Times New Roman" w:cs="Times New Roman"/>
          <w:smallCaps/>
          <w:sz w:val="20"/>
          <w:szCs w:val="20"/>
        </w:rPr>
        <w:t xml:space="preserve">Rev. </w:t>
      </w:r>
      <w:r w:rsidRPr="001E7DF3">
        <w:rPr>
          <w:rFonts w:ascii="Times New Roman" w:hAnsi="Times New Roman" w:cs="Times New Roman"/>
          <w:sz w:val="20"/>
          <w:szCs w:val="20"/>
        </w:rPr>
        <w:t xml:space="preserve">1, 14–17 (2006); Michael </w:t>
      </w:r>
      <w:proofErr w:type="spellStart"/>
      <w:r w:rsidRPr="001E7DF3">
        <w:rPr>
          <w:rFonts w:ascii="Times New Roman" w:hAnsi="Times New Roman" w:cs="Times New Roman"/>
          <w:sz w:val="20"/>
          <w:szCs w:val="20"/>
        </w:rPr>
        <w:t>Klausner</w:t>
      </w:r>
      <w:proofErr w:type="spellEnd"/>
      <w:r w:rsidRPr="001E7DF3">
        <w:rPr>
          <w:rFonts w:ascii="Times New Roman" w:hAnsi="Times New Roman" w:cs="Times New Roman"/>
          <w:sz w:val="20"/>
          <w:szCs w:val="20"/>
        </w:rPr>
        <w:t xml:space="preserve">, </w:t>
      </w:r>
      <w:r w:rsidRPr="001E7DF3">
        <w:rPr>
          <w:rFonts w:ascii="Times New Roman" w:hAnsi="Times New Roman" w:cs="Times New Roman"/>
          <w:i/>
          <w:sz w:val="20"/>
          <w:szCs w:val="20"/>
        </w:rPr>
        <w:t>Corporations, Corporate Law, and Networks of Contracts</w:t>
      </w:r>
      <w:r w:rsidRPr="001E7DF3">
        <w:rPr>
          <w:rFonts w:ascii="Times New Roman" w:hAnsi="Times New Roman" w:cs="Times New Roman"/>
          <w:sz w:val="20"/>
          <w:szCs w:val="20"/>
        </w:rPr>
        <w:t xml:space="preserve">, 81 </w:t>
      </w:r>
      <w:r w:rsidRPr="001E7DF3">
        <w:rPr>
          <w:rFonts w:ascii="Times New Roman" w:hAnsi="Times New Roman" w:cs="Times New Roman"/>
          <w:smallCaps/>
          <w:sz w:val="20"/>
          <w:szCs w:val="20"/>
        </w:rPr>
        <w:t>Va.</w:t>
      </w:r>
      <w:proofErr w:type="gramEnd"/>
      <w:r w:rsidRPr="001E7DF3">
        <w:rPr>
          <w:rFonts w:ascii="Times New Roman" w:hAnsi="Times New Roman" w:cs="Times New Roman"/>
          <w:smallCaps/>
          <w:sz w:val="20"/>
          <w:szCs w:val="20"/>
        </w:rPr>
        <w:t xml:space="preserve"> L. Rev.</w:t>
      </w:r>
      <w:r w:rsidRPr="001E7DF3">
        <w:rPr>
          <w:rFonts w:ascii="Times New Roman" w:hAnsi="Times New Roman" w:cs="Times New Roman"/>
          <w:sz w:val="20"/>
          <w:szCs w:val="20"/>
        </w:rPr>
        <w:t xml:space="preserve"> 757, 845–47 (1995).</w:t>
      </w:r>
    </w:p>
    <w:p w14:paraId="2277E422" w14:textId="77777777" w:rsidR="00A1412B" w:rsidRPr="001E7DF3" w:rsidRDefault="00A1412B" w:rsidP="001E7DF3">
      <w:pPr>
        <w:rPr>
          <w:rFonts w:ascii="Times New Roman" w:hAnsi="Times New Roman" w:cs="Times New Roman"/>
          <w:sz w:val="20"/>
          <w:szCs w:val="20"/>
        </w:rPr>
      </w:pPr>
    </w:p>
  </w:footnote>
  <w:footnote w:id="71">
    <w:p w14:paraId="385D4FF6" w14:textId="6D8737C4" w:rsidR="00A1412B" w:rsidRPr="001E7DF3" w:rsidRDefault="00A1412B" w:rsidP="001E7DF3">
      <w:pPr>
        <w:rPr>
          <w:rFonts w:ascii="Times New Roman" w:hAnsi="Times New Roman" w:cs="Times New Roman"/>
          <w:sz w:val="20"/>
          <w:szCs w:val="20"/>
        </w:rPr>
      </w:pPr>
      <w:r w:rsidRPr="001E7DF3">
        <w:rPr>
          <w:rFonts w:ascii="Times New Roman" w:hAnsi="Times New Roman" w:cs="Times New Roman"/>
          <w:sz w:val="20"/>
          <w:szCs w:val="20"/>
        </w:rPr>
        <w:tab/>
      </w:r>
      <w:r w:rsidRPr="001E7DF3">
        <w:rPr>
          <w:rStyle w:val="NoterefInNote"/>
          <w:rFonts w:ascii="Times New Roman" w:hAnsi="Times New Roman" w:cs="Times New Roman"/>
          <w:sz w:val="16"/>
          <w:szCs w:val="16"/>
        </w:rPr>
        <w:footnoteRef/>
      </w:r>
      <w:r w:rsidRPr="001E7DF3">
        <w:rPr>
          <w:rFonts w:ascii="Times New Roman" w:hAnsi="Times New Roman" w:cs="Times New Roman"/>
          <w:sz w:val="20"/>
          <w:szCs w:val="20"/>
        </w:rPr>
        <w:t xml:space="preserve"> </w:t>
      </w:r>
      <w:r w:rsidRPr="001E7DF3">
        <w:rPr>
          <w:rFonts w:ascii="Times New Roman" w:hAnsi="Times New Roman" w:cs="Times New Roman"/>
          <w:i/>
          <w:sz w:val="20"/>
          <w:szCs w:val="20"/>
        </w:rPr>
        <w:t>See</w:t>
      </w:r>
      <w:r w:rsidRPr="001E7DF3">
        <w:rPr>
          <w:rFonts w:ascii="Times New Roman" w:hAnsi="Times New Roman" w:cs="Times New Roman"/>
          <w:sz w:val="20"/>
          <w:szCs w:val="20"/>
        </w:rPr>
        <w:t xml:space="preserve"> </w:t>
      </w:r>
      <w:r w:rsidRPr="001E7DF3">
        <w:rPr>
          <w:rFonts w:ascii="Times New Roman" w:hAnsi="Times New Roman" w:cs="Times New Roman"/>
          <w:i/>
          <w:sz w:val="20"/>
          <w:szCs w:val="20"/>
        </w:rPr>
        <w:t>supra</w:t>
      </w:r>
      <w:r w:rsidRPr="001E7DF3">
        <w:rPr>
          <w:rFonts w:ascii="Times New Roman" w:hAnsi="Times New Roman" w:cs="Times New Roman"/>
          <w:sz w:val="20"/>
          <w:szCs w:val="20"/>
        </w:rPr>
        <w:t xml:space="preserve"> note </w:t>
      </w:r>
      <w:r w:rsidRPr="001E7DF3">
        <w:rPr>
          <w:rFonts w:ascii="Times New Roman" w:hAnsi="Times New Roman" w:cs="Times New Roman"/>
          <w:sz w:val="20"/>
          <w:szCs w:val="20"/>
        </w:rPr>
        <w:fldChar w:fldCharType="begin"/>
      </w:r>
      <w:r w:rsidRPr="001E7DF3">
        <w:rPr>
          <w:rFonts w:ascii="Times New Roman" w:hAnsi="Times New Roman" w:cs="Times New Roman"/>
          <w:sz w:val="20"/>
          <w:szCs w:val="20"/>
        </w:rPr>
        <w:instrText xml:space="preserve"> NOTEREF _Ref253594034 \h  \* MERGEFORMAT </w:instrText>
      </w:r>
      <w:r w:rsidRPr="001E7DF3">
        <w:rPr>
          <w:rFonts w:ascii="Times New Roman" w:hAnsi="Times New Roman" w:cs="Times New Roman"/>
          <w:sz w:val="20"/>
          <w:szCs w:val="20"/>
        </w:rPr>
      </w:r>
      <w:r w:rsidRPr="001E7DF3">
        <w:rPr>
          <w:rFonts w:ascii="Times New Roman" w:hAnsi="Times New Roman" w:cs="Times New Roman"/>
          <w:sz w:val="20"/>
          <w:szCs w:val="20"/>
        </w:rPr>
        <w:fldChar w:fldCharType="separate"/>
      </w:r>
      <w:r w:rsidR="00785305">
        <w:rPr>
          <w:rFonts w:ascii="Times New Roman" w:hAnsi="Times New Roman" w:cs="Times New Roman"/>
          <w:sz w:val="20"/>
          <w:szCs w:val="20"/>
        </w:rPr>
        <w:t>68</w:t>
      </w:r>
      <w:r w:rsidRPr="001E7DF3">
        <w:rPr>
          <w:rFonts w:ascii="Times New Roman" w:hAnsi="Times New Roman" w:cs="Times New Roman"/>
          <w:sz w:val="20"/>
          <w:szCs w:val="20"/>
        </w:rPr>
        <w:fldChar w:fldCharType="end"/>
      </w:r>
      <w:r w:rsidRPr="001E7DF3">
        <w:rPr>
          <w:rFonts w:ascii="Times New Roman" w:hAnsi="Times New Roman" w:cs="Times New Roman"/>
          <w:sz w:val="20"/>
          <w:szCs w:val="20"/>
        </w:rPr>
        <w:t xml:space="preserve"> and accompanying text.</w:t>
      </w:r>
    </w:p>
    <w:p w14:paraId="59E74C0A" w14:textId="77777777" w:rsidR="00A1412B" w:rsidRPr="001E7DF3" w:rsidRDefault="00A1412B" w:rsidP="001E7DF3">
      <w:pPr>
        <w:rPr>
          <w:rFonts w:ascii="Times New Roman" w:hAnsi="Times New Roman" w:cs="Times New Roman"/>
          <w:sz w:val="20"/>
          <w:szCs w:val="20"/>
        </w:rPr>
      </w:pPr>
    </w:p>
  </w:footnote>
  <w:footnote w:id="72">
    <w:p w14:paraId="03248452" w14:textId="70D137DF" w:rsidR="00A1412B" w:rsidRPr="001E7DF3" w:rsidRDefault="00A1412B" w:rsidP="001E7DF3">
      <w:pPr>
        <w:ind w:firstLine="720"/>
        <w:rPr>
          <w:rFonts w:ascii="Times New Roman" w:hAnsi="Times New Roman" w:cs="Times New Roman"/>
          <w:sz w:val="20"/>
          <w:szCs w:val="20"/>
        </w:rPr>
      </w:pPr>
      <w:r w:rsidRPr="001E7DF3">
        <w:rPr>
          <w:rStyle w:val="NoterefInNote"/>
          <w:rFonts w:ascii="Times New Roman" w:hAnsi="Times New Roman" w:cs="Times New Roman"/>
          <w:sz w:val="16"/>
          <w:szCs w:val="16"/>
        </w:rPr>
        <w:footnoteRef/>
      </w:r>
      <w:r w:rsidRPr="001E7DF3">
        <w:rPr>
          <w:rFonts w:ascii="Times New Roman" w:hAnsi="Times New Roman" w:cs="Times New Roman"/>
          <w:sz w:val="16"/>
          <w:szCs w:val="16"/>
        </w:rPr>
        <w:t xml:space="preserve"> </w:t>
      </w:r>
      <w:r w:rsidRPr="001E7DF3">
        <w:rPr>
          <w:rFonts w:ascii="Times New Roman" w:hAnsi="Times New Roman" w:cs="Times New Roman"/>
          <w:i/>
          <w:sz w:val="20"/>
          <w:szCs w:val="20"/>
        </w:rPr>
        <w:t>See</w:t>
      </w:r>
      <w:r w:rsidRPr="001E7DF3">
        <w:rPr>
          <w:rFonts w:ascii="Times New Roman" w:hAnsi="Times New Roman" w:cs="Times New Roman"/>
          <w:sz w:val="20"/>
          <w:szCs w:val="20"/>
        </w:rPr>
        <w:t xml:space="preserve"> John </w:t>
      </w:r>
      <w:proofErr w:type="spellStart"/>
      <w:r w:rsidRPr="001E7DF3">
        <w:rPr>
          <w:rFonts w:ascii="Times New Roman" w:hAnsi="Times New Roman" w:cs="Times New Roman"/>
          <w:sz w:val="20"/>
          <w:szCs w:val="20"/>
        </w:rPr>
        <w:t>Armour</w:t>
      </w:r>
      <w:proofErr w:type="spellEnd"/>
      <w:r w:rsidRPr="001E7DF3">
        <w:rPr>
          <w:rFonts w:ascii="Times New Roman" w:hAnsi="Times New Roman" w:cs="Times New Roman"/>
          <w:sz w:val="20"/>
          <w:szCs w:val="20"/>
        </w:rPr>
        <w:t xml:space="preserve">, Bernard Black &amp; Brian </w:t>
      </w:r>
      <w:proofErr w:type="spellStart"/>
      <w:r w:rsidRPr="001E7DF3">
        <w:rPr>
          <w:rFonts w:ascii="Times New Roman" w:hAnsi="Times New Roman" w:cs="Times New Roman"/>
          <w:sz w:val="20"/>
          <w:szCs w:val="20"/>
        </w:rPr>
        <w:t>Cheffins</w:t>
      </w:r>
      <w:proofErr w:type="spellEnd"/>
      <w:r w:rsidRPr="001E7DF3">
        <w:rPr>
          <w:rFonts w:ascii="Times New Roman" w:hAnsi="Times New Roman" w:cs="Times New Roman"/>
          <w:sz w:val="20"/>
          <w:szCs w:val="20"/>
        </w:rPr>
        <w:t xml:space="preserve">, </w:t>
      </w:r>
      <w:r w:rsidRPr="001E7DF3">
        <w:rPr>
          <w:rFonts w:ascii="Times New Roman" w:hAnsi="Times New Roman" w:cs="Times New Roman"/>
          <w:i/>
          <w:sz w:val="20"/>
          <w:szCs w:val="20"/>
        </w:rPr>
        <w:t>Delaware’s Balancing Act</w:t>
      </w:r>
      <w:r w:rsidRPr="001E7DF3">
        <w:rPr>
          <w:rFonts w:ascii="Times New Roman" w:hAnsi="Times New Roman" w:cs="Times New Roman"/>
          <w:sz w:val="20"/>
          <w:szCs w:val="20"/>
        </w:rPr>
        <w:t xml:space="preserve">, 87 </w:t>
      </w:r>
      <w:r w:rsidRPr="001E7DF3">
        <w:rPr>
          <w:rFonts w:ascii="Times New Roman" w:hAnsi="Times New Roman" w:cs="Times New Roman"/>
          <w:smallCaps/>
          <w:sz w:val="20"/>
          <w:szCs w:val="20"/>
        </w:rPr>
        <w:t>Ind. L.J. 1345, 1397 (2012) (</w:t>
      </w:r>
      <w:r w:rsidRPr="001E7DF3">
        <w:rPr>
          <w:rFonts w:ascii="Times New Roman" w:hAnsi="Times New Roman" w:cs="Times New Roman"/>
          <w:sz w:val="20"/>
          <w:szCs w:val="20"/>
        </w:rPr>
        <w:t>describing how “many corporate suits are brought in . . . the Santa Clara County Superior Court . . . [which] has correspondingly developed considerable familiarity with corporate cases[]”).</w:t>
      </w:r>
    </w:p>
    <w:p w14:paraId="195D1193" w14:textId="77777777" w:rsidR="00A1412B" w:rsidRPr="001C3140" w:rsidRDefault="00A1412B" w:rsidP="00E7630A">
      <w:pPr>
        <w:pStyle w:val="FootNote"/>
        <w:rPr>
          <w:rFonts w:ascii="Times New Roman" w:hAnsi="Times New Roman"/>
          <w:sz w:val="20"/>
        </w:rPr>
      </w:pPr>
    </w:p>
  </w:footnote>
  <w:footnote w:id="73">
    <w:p w14:paraId="6ED15B4B" w14:textId="05F181F8" w:rsidR="00A1412B" w:rsidRPr="001E7DF3" w:rsidRDefault="00A1412B" w:rsidP="001E7DF3">
      <w:pPr>
        <w:rPr>
          <w:rFonts w:ascii="Times New Roman" w:hAnsi="Times New Roman" w:cs="Times New Roman"/>
          <w:sz w:val="20"/>
          <w:szCs w:val="20"/>
        </w:rPr>
      </w:pPr>
      <w:r w:rsidRPr="001C3140">
        <w:tab/>
      </w:r>
      <w:r w:rsidRPr="001E7DF3">
        <w:rPr>
          <w:rStyle w:val="NoterefInNote"/>
          <w:rFonts w:ascii="Times New Roman" w:hAnsi="Times New Roman" w:cs="Times New Roman"/>
          <w:sz w:val="16"/>
          <w:szCs w:val="16"/>
        </w:rPr>
        <w:footnoteRef/>
      </w:r>
      <w:r w:rsidRPr="001E7DF3">
        <w:rPr>
          <w:rFonts w:ascii="Times New Roman" w:hAnsi="Times New Roman" w:cs="Times New Roman"/>
          <w:sz w:val="20"/>
          <w:szCs w:val="20"/>
        </w:rPr>
        <w:t xml:space="preserve"> See Ronald J. Gilson</w:t>
      </w:r>
      <w:r w:rsidRPr="001E7DF3">
        <w:rPr>
          <w:rFonts w:ascii="Times New Roman" w:hAnsi="Times New Roman" w:cs="Times New Roman"/>
          <w:i/>
          <w:sz w:val="20"/>
          <w:szCs w:val="20"/>
        </w:rPr>
        <w:t>, The Legal Infrastructure of High Technology Industrial Districts: Silicon Valley, Route 128, and Covenants Not to Compete</w:t>
      </w:r>
      <w:r w:rsidRPr="001E7DF3">
        <w:rPr>
          <w:rFonts w:ascii="Times New Roman" w:hAnsi="Times New Roman" w:cs="Times New Roman"/>
          <w:sz w:val="20"/>
          <w:szCs w:val="20"/>
        </w:rPr>
        <w:t xml:space="preserve">, 74 </w:t>
      </w:r>
      <w:r w:rsidRPr="001E7DF3">
        <w:rPr>
          <w:rFonts w:ascii="Times New Roman" w:hAnsi="Times New Roman" w:cs="Times New Roman"/>
          <w:smallCaps/>
          <w:sz w:val="20"/>
          <w:szCs w:val="20"/>
        </w:rPr>
        <w:t xml:space="preserve">N.Y.U. L. Rev. </w:t>
      </w:r>
      <w:r w:rsidRPr="001E7DF3">
        <w:rPr>
          <w:rFonts w:ascii="Times New Roman" w:hAnsi="Times New Roman" w:cs="Times New Roman"/>
          <w:sz w:val="20"/>
          <w:szCs w:val="20"/>
        </w:rPr>
        <w:t>575, 578 (1999) (role of law in supporting industrial districts).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C9E"/>
    <w:multiLevelType w:val="hybridMultilevel"/>
    <w:tmpl w:val="68BC81F8"/>
    <w:lvl w:ilvl="0" w:tplc="9642D12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D4DA3"/>
    <w:multiLevelType w:val="hybridMultilevel"/>
    <w:tmpl w:val="4916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B1E29"/>
    <w:multiLevelType w:val="hybridMultilevel"/>
    <w:tmpl w:val="82EC3052"/>
    <w:lvl w:ilvl="0" w:tplc="E4728674">
      <w:start w:val="1"/>
      <w:numFmt w:val="upp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
    <w:nsid w:val="40EB49A9"/>
    <w:multiLevelType w:val="hybridMultilevel"/>
    <w:tmpl w:val="B4E08570"/>
    <w:lvl w:ilvl="0" w:tplc="CF00B6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010ED7"/>
    <w:multiLevelType w:val="hybridMultilevel"/>
    <w:tmpl w:val="4B8EE154"/>
    <w:lvl w:ilvl="0" w:tplc="F84C16C0">
      <w:start w:val="1"/>
      <w:numFmt w:val="upperRoman"/>
      <w:lvlText w:val="%1."/>
      <w:lvlJc w:val="left"/>
      <w:pPr>
        <w:ind w:left="330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5">
    <w:nsid w:val="610F433B"/>
    <w:multiLevelType w:val="hybridMultilevel"/>
    <w:tmpl w:val="293E72FE"/>
    <w:lvl w:ilvl="0" w:tplc="BC36D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247E33"/>
    <w:multiLevelType w:val="hybridMultilevel"/>
    <w:tmpl w:val="BB52BD6A"/>
    <w:lvl w:ilvl="0" w:tplc="29669B6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DA3065"/>
    <w:multiLevelType w:val="hybridMultilevel"/>
    <w:tmpl w:val="25DCABFC"/>
    <w:lvl w:ilvl="0" w:tplc="04090015">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
    <w:nsid w:val="71BD228F"/>
    <w:multiLevelType w:val="hybridMultilevel"/>
    <w:tmpl w:val="14AA0ECA"/>
    <w:lvl w:ilvl="0" w:tplc="D0E0A7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6"/>
  </w:num>
  <w:num w:numId="5">
    <w:abstractNumId w:val="4"/>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87"/>
    <w:rsid w:val="00003CEF"/>
    <w:rsid w:val="0000403B"/>
    <w:rsid w:val="000146D3"/>
    <w:rsid w:val="000150F8"/>
    <w:rsid w:val="000168E8"/>
    <w:rsid w:val="00032BA7"/>
    <w:rsid w:val="00032C1D"/>
    <w:rsid w:val="00041072"/>
    <w:rsid w:val="000458AB"/>
    <w:rsid w:val="000525A1"/>
    <w:rsid w:val="000551BA"/>
    <w:rsid w:val="0005639A"/>
    <w:rsid w:val="000623BB"/>
    <w:rsid w:val="00070A93"/>
    <w:rsid w:val="00076D54"/>
    <w:rsid w:val="00081478"/>
    <w:rsid w:val="00090D44"/>
    <w:rsid w:val="000A7026"/>
    <w:rsid w:val="000B002A"/>
    <w:rsid w:val="000B21F0"/>
    <w:rsid w:val="000B314D"/>
    <w:rsid w:val="000B684E"/>
    <w:rsid w:val="000B6FBF"/>
    <w:rsid w:val="000D0BAA"/>
    <w:rsid w:val="000D523F"/>
    <w:rsid w:val="000D6F51"/>
    <w:rsid w:val="000E52FF"/>
    <w:rsid w:val="001010F9"/>
    <w:rsid w:val="00101A6A"/>
    <w:rsid w:val="00116F96"/>
    <w:rsid w:val="0012026D"/>
    <w:rsid w:val="00123055"/>
    <w:rsid w:val="00124ED4"/>
    <w:rsid w:val="00137798"/>
    <w:rsid w:val="00143599"/>
    <w:rsid w:val="001458E9"/>
    <w:rsid w:val="00161D5D"/>
    <w:rsid w:val="001630D2"/>
    <w:rsid w:val="0016734C"/>
    <w:rsid w:val="00175FB2"/>
    <w:rsid w:val="001771AC"/>
    <w:rsid w:val="00191C5F"/>
    <w:rsid w:val="00192F98"/>
    <w:rsid w:val="001962C8"/>
    <w:rsid w:val="001A10FA"/>
    <w:rsid w:val="001A6CCC"/>
    <w:rsid w:val="001B5345"/>
    <w:rsid w:val="001B7D90"/>
    <w:rsid w:val="001C147B"/>
    <w:rsid w:val="001C2432"/>
    <w:rsid w:val="001C2D44"/>
    <w:rsid w:val="001C3140"/>
    <w:rsid w:val="001C41B5"/>
    <w:rsid w:val="001C4BFC"/>
    <w:rsid w:val="001C707C"/>
    <w:rsid w:val="001D2AAF"/>
    <w:rsid w:val="001D3B0C"/>
    <w:rsid w:val="001D3D69"/>
    <w:rsid w:val="001E39B8"/>
    <w:rsid w:val="001E4A48"/>
    <w:rsid w:val="001E7DF3"/>
    <w:rsid w:val="0021385D"/>
    <w:rsid w:val="0025406E"/>
    <w:rsid w:val="002624BC"/>
    <w:rsid w:val="0027049B"/>
    <w:rsid w:val="00276399"/>
    <w:rsid w:val="00284A8C"/>
    <w:rsid w:val="00291A84"/>
    <w:rsid w:val="00291CF1"/>
    <w:rsid w:val="0029714B"/>
    <w:rsid w:val="002A4193"/>
    <w:rsid w:val="002B55E7"/>
    <w:rsid w:val="002B5877"/>
    <w:rsid w:val="002F5ACA"/>
    <w:rsid w:val="00300AF9"/>
    <w:rsid w:val="00311897"/>
    <w:rsid w:val="00311D3E"/>
    <w:rsid w:val="0031530D"/>
    <w:rsid w:val="00317AD8"/>
    <w:rsid w:val="00322112"/>
    <w:rsid w:val="00333384"/>
    <w:rsid w:val="00340FAC"/>
    <w:rsid w:val="00342301"/>
    <w:rsid w:val="0034354B"/>
    <w:rsid w:val="003453B3"/>
    <w:rsid w:val="00353148"/>
    <w:rsid w:val="00361545"/>
    <w:rsid w:val="00366232"/>
    <w:rsid w:val="0037082E"/>
    <w:rsid w:val="00373BBC"/>
    <w:rsid w:val="003744A4"/>
    <w:rsid w:val="003764B9"/>
    <w:rsid w:val="003933E1"/>
    <w:rsid w:val="00395C7F"/>
    <w:rsid w:val="00396262"/>
    <w:rsid w:val="003A2C51"/>
    <w:rsid w:val="003A6175"/>
    <w:rsid w:val="003B1985"/>
    <w:rsid w:val="003B3C6F"/>
    <w:rsid w:val="003B4E82"/>
    <w:rsid w:val="003C18D9"/>
    <w:rsid w:val="003D2E51"/>
    <w:rsid w:val="003D34F6"/>
    <w:rsid w:val="003F38D1"/>
    <w:rsid w:val="004028C5"/>
    <w:rsid w:val="00412F91"/>
    <w:rsid w:val="00413DD8"/>
    <w:rsid w:val="00421767"/>
    <w:rsid w:val="00422A95"/>
    <w:rsid w:val="00423360"/>
    <w:rsid w:val="00424F87"/>
    <w:rsid w:val="0043006F"/>
    <w:rsid w:val="004448AA"/>
    <w:rsid w:val="004461A7"/>
    <w:rsid w:val="00467305"/>
    <w:rsid w:val="0047174E"/>
    <w:rsid w:val="00474627"/>
    <w:rsid w:val="00484B9C"/>
    <w:rsid w:val="004A3C3C"/>
    <w:rsid w:val="004A734B"/>
    <w:rsid w:val="004B55AD"/>
    <w:rsid w:val="004C0FD2"/>
    <w:rsid w:val="004C39BF"/>
    <w:rsid w:val="004E1690"/>
    <w:rsid w:val="004E2296"/>
    <w:rsid w:val="004E2439"/>
    <w:rsid w:val="004F2DED"/>
    <w:rsid w:val="004F39E5"/>
    <w:rsid w:val="004F519B"/>
    <w:rsid w:val="00502BE0"/>
    <w:rsid w:val="0050746A"/>
    <w:rsid w:val="0051317B"/>
    <w:rsid w:val="00514981"/>
    <w:rsid w:val="00534A2F"/>
    <w:rsid w:val="00535C0D"/>
    <w:rsid w:val="00540044"/>
    <w:rsid w:val="00540A53"/>
    <w:rsid w:val="00546B5E"/>
    <w:rsid w:val="00551120"/>
    <w:rsid w:val="00555473"/>
    <w:rsid w:val="005762EA"/>
    <w:rsid w:val="00576DD6"/>
    <w:rsid w:val="005778C7"/>
    <w:rsid w:val="00581A25"/>
    <w:rsid w:val="00586B69"/>
    <w:rsid w:val="00597E06"/>
    <w:rsid w:val="005A294A"/>
    <w:rsid w:val="005A5664"/>
    <w:rsid w:val="005B1CD8"/>
    <w:rsid w:val="005B4C87"/>
    <w:rsid w:val="005B5418"/>
    <w:rsid w:val="005C13F3"/>
    <w:rsid w:val="005D2C5A"/>
    <w:rsid w:val="005D5EC4"/>
    <w:rsid w:val="005D6E6F"/>
    <w:rsid w:val="005E6086"/>
    <w:rsid w:val="005F448D"/>
    <w:rsid w:val="006004B0"/>
    <w:rsid w:val="006038E6"/>
    <w:rsid w:val="00606877"/>
    <w:rsid w:val="00613E10"/>
    <w:rsid w:val="006144AA"/>
    <w:rsid w:val="00615DD9"/>
    <w:rsid w:val="0062137E"/>
    <w:rsid w:val="00644D32"/>
    <w:rsid w:val="006524DC"/>
    <w:rsid w:val="00652A56"/>
    <w:rsid w:val="00654A85"/>
    <w:rsid w:val="00656009"/>
    <w:rsid w:val="00663E8D"/>
    <w:rsid w:val="006661CC"/>
    <w:rsid w:val="006736DB"/>
    <w:rsid w:val="006827E1"/>
    <w:rsid w:val="006843F3"/>
    <w:rsid w:val="00687698"/>
    <w:rsid w:val="006943D9"/>
    <w:rsid w:val="00694850"/>
    <w:rsid w:val="006A6915"/>
    <w:rsid w:val="006B6D5E"/>
    <w:rsid w:val="006B74B1"/>
    <w:rsid w:val="006C36B3"/>
    <w:rsid w:val="006C5943"/>
    <w:rsid w:val="006D21BB"/>
    <w:rsid w:val="006D3A2E"/>
    <w:rsid w:val="006D6885"/>
    <w:rsid w:val="006D6E38"/>
    <w:rsid w:val="006E037D"/>
    <w:rsid w:val="006F3838"/>
    <w:rsid w:val="00702BE6"/>
    <w:rsid w:val="00712746"/>
    <w:rsid w:val="00714C75"/>
    <w:rsid w:val="00715D72"/>
    <w:rsid w:val="00716452"/>
    <w:rsid w:val="00720E0F"/>
    <w:rsid w:val="0072705E"/>
    <w:rsid w:val="007343E2"/>
    <w:rsid w:val="00737606"/>
    <w:rsid w:val="00743D2F"/>
    <w:rsid w:val="007824DE"/>
    <w:rsid w:val="00783B4F"/>
    <w:rsid w:val="00785305"/>
    <w:rsid w:val="00791AF9"/>
    <w:rsid w:val="007939D6"/>
    <w:rsid w:val="00797AAC"/>
    <w:rsid w:val="007A3D45"/>
    <w:rsid w:val="007A40B9"/>
    <w:rsid w:val="007A5932"/>
    <w:rsid w:val="007B721E"/>
    <w:rsid w:val="007C0D4D"/>
    <w:rsid w:val="007D3021"/>
    <w:rsid w:val="007E4743"/>
    <w:rsid w:val="007E5D40"/>
    <w:rsid w:val="007F571B"/>
    <w:rsid w:val="00822E35"/>
    <w:rsid w:val="0082312C"/>
    <w:rsid w:val="00833464"/>
    <w:rsid w:val="00854FE2"/>
    <w:rsid w:val="00862FBA"/>
    <w:rsid w:val="0086472A"/>
    <w:rsid w:val="00866848"/>
    <w:rsid w:val="00867C65"/>
    <w:rsid w:val="0087487E"/>
    <w:rsid w:val="00882653"/>
    <w:rsid w:val="00883578"/>
    <w:rsid w:val="008A1B1D"/>
    <w:rsid w:val="008A1BB7"/>
    <w:rsid w:val="008A1BB9"/>
    <w:rsid w:val="008A2F56"/>
    <w:rsid w:val="008A4B4B"/>
    <w:rsid w:val="008B5638"/>
    <w:rsid w:val="008C4A0E"/>
    <w:rsid w:val="008C53BC"/>
    <w:rsid w:val="008D52CE"/>
    <w:rsid w:val="008E2B53"/>
    <w:rsid w:val="008E5E7B"/>
    <w:rsid w:val="00900A28"/>
    <w:rsid w:val="0090167D"/>
    <w:rsid w:val="00904270"/>
    <w:rsid w:val="00905F2D"/>
    <w:rsid w:val="0090680A"/>
    <w:rsid w:val="00906D53"/>
    <w:rsid w:val="009114F5"/>
    <w:rsid w:val="00913024"/>
    <w:rsid w:val="0092189E"/>
    <w:rsid w:val="0092710E"/>
    <w:rsid w:val="0093411E"/>
    <w:rsid w:val="009371F5"/>
    <w:rsid w:val="00944B5C"/>
    <w:rsid w:val="009509FC"/>
    <w:rsid w:val="009511CB"/>
    <w:rsid w:val="00955D37"/>
    <w:rsid w:val="009627C9"/>
    <w:rsid w:val="00996318"/>
    <w:rsid w:val="009A0020"/>
    <w:rsid w:val="009A4A03"/>
    <w:rsid w:val="009A4A7C"/>
    <w:rsid w:val="009A5A48"/>
    <w:rsid w:val="009C4504"/>
    <w:rsid w:val="009C6A9B"/>
    <w:rsid w:val="009C7274"/>
    <w:rsid w:val="009D00D8"/>
    <w:rsid w:val="009D4BC8"/>
    <w:rsid w:val="009D6113"/>
    <w:rsid w:val="009F6BC5"/>
    <w:rsid w:val="009F6C2C"/>
    <w:rsid w:val="00A04154"/>
    <w:rsid w:val="00A048A4"/>
    <w:rsid w:val="00A12F8F"/>
    <w:rsid w:val="00A1412B"/>
    <w:rsid w:val="00A23567"/>
    <w:rsid w:val="00A2641B"/>
    <w:rsid w:val="00A31D40"/>
    <w:rsid w:val="00A35F79"/>
    <w:rsid w:val="00A416FB"/>
    <w:rsid w:val="00A60E5D"/>
    <w:rsid w:val="00A73B1F"/>
    <w:rsid w:val="00A77B96"/>
    <w:rsid w:val="00A936F4"/>
    <w:rsid w:val="00A97853"/>
    <w:rsid w:val="00AA0D35"/>
    <w:rsid w:val="00AA5973"/>
    <w:rsid w:val="00AB129C"/>
    <w:rsid w:val="00AC6792"/>
    <w:rsid w:val="00AD3A2A"/>
    <w:rsid w:val="00AD7BEF"/>
    <w:rsid w:val="00AE1581"/>
    <w:rsid w:val="00AE3E73"/>
    <w:rsid w:val="00AF4E98"/>
    <w:rsid w:val="00B017FA"/>
    <w:rsid w:val="00B12B89"/>
    <w:rsid w:val="00B16462"/>
    <w:rsid w:val="00B23FD4"/>
    <w:rsid w:val="00B34E36"/>
    <w:rsid w:val="00B36BE6"/>
    <w:rsid w:val="00B475F6"/>
    <w:rsid w:val="00B50BE5"/>
    <w:rsid w:val="00B52DB8"/>
    <w:rsid w:val="00B72EA7"/>
    <w:rsid w:val="00B75919"/>
    <w:rsid w:val="00B83A75"/>
    <w:rsid w:val="00B86851"/>
    <w:rsid w:val="00B9015B"/>
    <w:rsid w:val="00B902CD"/>
    <w:rsid w:val="00B915CA"/>
    <w:rsid w:val="00B962B8"/>
    <w:rsid w:val="00BA602D"/>
    <w:rsid w:val="00BB7C87"/>
    <w:rsid w:val="00BC27FC"/>
    <w:rsid w:val="00BC4733"/>
    <w:rsid w:val="00BD0A47"/>
    <w:rsid w:val="00BD3520"/>
    <w:rsid w:val="00BE4954"/>
    <w:rsid w:val="00BF21C9"/>
    <w:rsid w:val="00BF50D1"/>
    <w:rsid w:val="00BF742A"/>
    <w:rsid w:val="00C05811"/>
    <w:rsid w:val="00C05B31"/>
    <w:rsid w:val="00C07453"/>
    <w:rsid w:val="00C12BE8"/>
    <w:rsid w:val="00C13C47"/>
    <w:rsid w:val="00C13D44"/>
    <w:rsid w:val="00C14656"/>
    <w:rsid w:val="00C14AE6"/>
    <w:rsid w:val="00C3366A"/>
    <w:rsid w:val="00C366FA"/>
    <w:rsid w:val="00C40D99"/>
    <w:rsid w:val="00C519D2"/>
    <w:rsid w:val="00C52F18"/>
    <w:rsid w:val="00C55662"/>
    <w:rsid w:val="00C63D8B"/>
    <w:rsid w:val="00C702EA"/>
    <w:rsid w:val="00C761B2"/>
    <w:rsid w:val="00C91001"/>
    <w:rsid w:val="00C921EE"/>
    <w:rsid w:val="00C9327E"/>
    <w:rsid w:val="00C94300"/>
    <w:rsid w:val="00C94666"/>
    <w:rsid w:val="00CA108F"/>
    <w:rsid w:val="00CA3EFC"/>
    <w:rsid w:val="00CA4C81"/>
    <w:rsid w:val="00CB2572"/>
    <w:rsid w:val="00CB50FD"/>
    <w:rsid w:val="00CC000D"/>
    <w:rsid w:val="00CC7772"/>
    <w:rsid w:val="00CD4883"/>
    <w:rsid w:val="00CD4921"/>
    <w:rsid w:val="00CD6CA3"/>
    <w:rsid w:val="00D01111"/>
    <w:rsid w:val="00D031D3"/>
    <w:rsid w:val="00D07091"/>
    <w:rsid w:val="00D10B6F"/>
    <w:rsid w:val="00D124DA"/>
    <w:rsid w:val="00D31CE2"/>
    <w:rsid w:val="00D3533B"/>
    <w:rsid w:val="00D35B06"/>
    <w:rsid w:val="00D35CDE"/>
    <w:rsid w:val="00D36C17"/>
    <w:rsid w:val="00D46040"/>
    <w:rsid w:val="00D578B0"/>
    <w:rsid w:val="00D6066C"/>
    <w:rsid w:val="00D63CEA"/>
    <w:rsid w:val="00D668B4"/>
    <w:rsid w:val="00D81E02"/>
    <w:rsid w:val="00D84D42"/>
    <w:rsid w:val="00D8706B"/>
    <w:rsid w:val="00D97747"/>
    <w:rsid w:val="00DA281C"/>
    <w:rsid w:val="00DA5D9A"/>
    <w:rsid w:val="00DC34A2"/>
    <w:rsid w:val="00DC6EFA"/>
    <w:rsid w:val="00DC7C58"/>
    <w:rsid w:val="00DE360F"/>
    <w:rsid w:val="00DE4CEC"/>
    <w:rsid w:val="00DE67EE"/>
    <w:rsid w:val="00E108D7"/>
    <w:rsid w:val="00E114B0"/>
    <w:rsid w:val="00E33269"/>
    <w:rsid w:val="00E41204"/>
    <w:rsid w:val="00E44BD1"/>
    <w:rsid w:val="00E50220"/>
    <w:rsid w:val="00E55AA5"/>
    <w:rsid w:val="00E762B7"/>
    <w:rsid w:val="00E7630A"/>
    <w:rsid w:val="00E847F2"/>
    <w:rsid w:val="00E9296A"/>
    <w:rsid w:val="00E934E4"/>
    <w:rsid w:val="00E96EB9"/>
    <w:rsid w:val="00E9701C"/>
    <w:rsid w:val="00EA64ED"/>
    <w:rsid w:val="00EB11AA"/>
    <w:rsid w:val="00EB1B8D"/>
    <w:rsid w:val="00EB40CE"/>
    <w:rsid w:val="00EB4865"/>
    <w:rsid w:val="00EB4F97"/>
    <w:rsid w:val="00EC4FAE"/>
    <w:rsid w:val="00EC722D"/>
    <w:rsid w:val="00ED07FE"/>
    <w:rsid w:val="00EF3221"/>
    <w:rsid w:val="00EF4465"/>
    <w:rsid w:val="00EF5BF7"/>
    <w:rsid w:val="00EF7BCA"/>
    <w:rsid w:val="00F011A1"/>
    <w:rsid w:val="00F043E8"/>
    <w:rsid w:val="00F12F7C"/>
    <w:rsid w:val="00F13272"/>
    <w:rsid w:val="00F13D3B"/>
    <w:rsid w:val="00F13FAD"/>
    <w:rsid w:val="00F1457C"/>
    <w:rsid w:val="00F2773E"/>
    <w:rsid w:val="00F3433E"/>
    <w:rsid w:val="00F3538B"/>
    <w:rsid w:val="00F37398"/>
    <w:rsid w:val="00F53285"/>
    <w:rsid w:val="00F77AAE"/>
    <w:rsid w:val="00F8385E"/>
    <w:rsid w:val="00F95987"/>
    <w:rsid w:val="00F96E3E"/>
    <w:rsid w:val="00F97EE0"/>
    <w:rsid w:val="00FA2B3B"/>
    <w:rsid w:val="00FA71C3"/>
    <w:rsid w:val="00FB0A77"/>
    <w:rsid w:val="00FB631B"/>
    <w:rsid w:val="00FD0309"/>
    <w:rsid w:val="00FD70AE"/>
    <w:rsid w:val="00FE75F8"/>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53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24F87"/>
    <w:pPr>
      <w:tabs>
        <w:tab w:val="center" w:pos="4320"/>
        <w:tab w:val="right" w:pos="8640"/>
      </w:tabs>
    </w:pPr>
  </w:style>
  <w:style w:type="character" w:customStyle="1" w:styleId="FooterChar">
    <w:name w:val="Footer Char"/>
    <w:basedOn w:val="DefaultParagraphFont"/>
    <w:link w:val="Footer"/>
    <w:rsid w:val="00424F87"/>
  </w:style>
  <w:style w:type="character" w:styleId="PageNumber">
    <w:name w:val="page number"/>
    <w:basedOn w:val="DefaultParagraphFont"/>
    <w:uiPriority w:val="99"/>
    <w:semiHidden/>
    <w:unhideWhenUsed/>
    <w:rsid w:val="00424F87"/>
  </w:style>
  <w:style w:type="paragraph" w:styleId="FootnoteText">
    <w:name w:val="footnote text"/>
    <w:basedOn w:val="Normal"/>
    <w:link w:val="FootnoteTextChar"/>
    <w:uiPriority w:val="99"/>
    <w:rsid w:val="00DC34A2"/>
    <w:pPr>
      <w:spacing w:line="360" w:lineRule="auto"/>
      <w:ind w:firstLine="720"/>
    </w:pPr>
    <w:rPr>
      <w:rFonts w:ascii="Times New Roman" w:eastAsia="MS ??" w:hAnsi="Times New Roman" w:cs="Times New Roman"/>
    </w:rPr>
  </w:style>
  <w:style w:type="character" w:customStyle="1" w:styleId="FootnoteTextChar">
    <w:name w:val="Footnote Text Char"/>
    <w:basedOn w:val="DefaultParagraphFont"/>
    <w:link w:val="FootnoteText"/>
    <w:rsid w:val="00DC34A2"/>
    <w:rPr>
      <w:rFonts w:ascii="Times New Roman" w:eastAsia="MS ??" w:hAnsi="Times New Roman" w:cs="Times New Roman"/>
    </w:rPr>
  </w:style>
  <w:style w:type="character" w:styleId="FootnoteReference">
    <w:name w:val="footnote reference"/>
    <w:basedOn w:val="DefaultParagraphFont"/>
    <w:rsid w:val="00DC34A2"/>
    <w:rPr>
      <w:rFonts w:cs="Times New Roman"/>
      <w:vertAlign w:val="superscript"/>
    </w:rPr>
  </w:style>
  <w:style w:type="character" w:styleId="Hyperlink">
    <w:name w:val="Hyperlink"/>
    <w:basedOn w:val="DefaultParagraphFont"/>
    <w:uiPriority w:val="99"/>
    <w:rsid w:val="00DC34A2"/>
    <w:rPr>
      <w:rFonts w:cs="Times New Roman"/>
      <w:color w:val="0000FF"/>
      <w:u w:val="single"/>
    </w:rPr>
  </w:style>
  <w:style w:type="paragraph" w:styleId="ListParagraph">
    <w:name w:val="List Paragraph"/>
    <w:basedOn w:val="Normal"/>
    <w:uiPriority w:val="99"/>
    <w:qFormat/>
    <w:rsid w:val="0093411E"/>
    <w:pPr>
      <w:spacing w:line="360" w:lineRule="auto"/>
      <w:ind w:left="720" w:firstLine="720"/>
      <w:contextualSpacing/>
    </w:pPr>
    <w:rPr>
      <w:rFonts w:ascii="Times New Roman" w:eastAsia="MS ??" w:hAnsi="Times New Roman" w:cs="Times New Roman"/>
    </w:rPr>
  </w:style>
  <w:style w:type="paragraph" w:customStyle="1" w:styleId="ArticleTitle">
    <w:name w:val="Article Title"/>
    <w:basedOn w:val="Normal"/>
    <w:rsid w:val="00AD7BEF"/>
    <w:pPr>
      <w:widowControl w:val="0"/>
      <w:jc w:val="center"/>
    </w:pPr>
    <w:rPr>
      <w:rFonts w:ascii="CG Times" w:eastAsia="Times New Roman" w:hAnsi="CG Times" w:cs="Times New Roman"/>
      <w:caps/>
    </w:rPr>
  </w:style>
  <w:style w:type="paragraph" w:customStyle="1" w:styleId="footnotetex">
    <w:name w:val="footnote tex"/>
    <w:uiPriority w:val="99"/>
    <w:rsid w:val="00DE67EE"/>
    <w:pPr>
      <w:widowControl w:val="0"/>
      <w:autoSpaceDE w:val="0"/>
      <w:autoSpaceDN w:val="0"/>
      <w:adjustRightInd w:val="0"/>
    </w:pPr>
    <w:rPr>
      <w:rFonts w:ascii="SimSun" w:eastAsia="SimSun" w:hAnsi="Times New Roman" w:cs="SimSun"/>
      <w:lang w:val="zh-CN"/>
    </w:rPr>
  </w:style>
  <w:style w:type="paragraph" w:customStyle="1" w:styleId="Body1">
    <w:name w:val="Body 1"/>
    <w:uiPriority w:val="99"/>
    <w:rsid w:val="00DE67EE"/>
    <w:rPr>
      <w:rFonts w:ascii="Helvetica" w:eastAsia="?????? Pro W3" w:hAnsi="Helvetica" w:cs="Times New Roman"/>
      <w:color w:val="000000"/>
      <w:szCs w:val="20"/>
      <w:lang w:eastAsia="zh-CN"/>
    </w:rPr>
  </w:style>
  <w:style w:type="paragraph" w:customStyle="1" w:styleId="Document">
    <w:name w:val="_Document"/>
    <w:basedOn w:val="Normal"/>
    <w:link w:val="DocumentChar"/>
    <w:uiPriority w:val="99"/>
    <w:qFormat/>
    <w:rsid w:val="00694850"/>
    <w:pPr>
      <w:widowControl w:val="0"/>
      <w:suppressLineNumbers/>
      <w:tabs>
        <w:tab w:val="left" w:pos="0"/>
        <w:tab w:val="left" w:pos="440"/>
        <w:tab w:val="left" w:pos="620"/>
      </w:tabs>
      <w:spacing w:before="20" w:line="260" w:lineRule="exact"/>
      <w:ind w:firstLine="440"/>
      <w:jc w:val="both"/>
    </w:pPr>
    <w:rPr>
      <w:rFonts w:ascii="NewBaskerville" w:eastAsia="Times New Roman" w:hAnsi="NewBaskerville" w:cs="Times New Roman"/>
      <w:sz w:val="22"/>
      <w:szCs w:val="20"/>
    </w:rPr>
  </w:style>
  <w:style w:type="paragraph" w:customStyle="1" w:styleId="FootNote">
    <w:name w:val="_FootNote"/>
    <w:basedOn w:val="Document"/>
    <w:link w:val="FootNoteChar"/>
    <w:qFormat/>
    <w:rsid w:val="00694850"/>
    <w:pPr>
      <w:tabs>
        <w:tab w:val="clear" w:pos="0"/>
        <w:tab w:val="clear" w:pos="440"/>
        <w:tab w:val="clear" w:pos="620"/>
        <w:tab w:val="right" w:pos="360"/>
        <w:tab w:val="left" w:pos="560"/>
      </w:tabs>
      <w:spacing w:line="200" w:lineRule="exact"/>
      <w:ind w:firstLine="0"/>
    </w:pPr>
    <w:rPr>
      <w:sz w:val="17"/>
    </w:rPr>
  </w:style>
  <w:style w:type="character" w:customStyle="1" w:styleId="NoterefInText">
    <w:name w:val="_NoterefInText"/>
    <w:basedOn w:val="DefaultParagraphFont"/>
    <w:qFormat/>
    <w:rsid w:val="00694850"/>
    <w:rPr>
      <w:rFonts w:ascii="NewBaskerville" w:hAnsi="NewBaskerville"/>
      <w:spacing w:val="0"/>
      <w:w w:val="100"/>
      <w:position w:val="6"/>
      <w:sz w:val="13"/>
      <w:vertAlign w:val="baseline"/>
    </w:rPr>
  </w:style>
  <w:style w:type="character" w:customStyle="1" w:styleId="NoterefInNote">
    <w:name w:val="_NoterefInNote"/>
    <w:basedOn w:val="DefaultParagraphFont"/>
    <w:qFormat/>
    <w:rsid w:val="00694850"/>
    <w:rPr>
      <w:rFonts w:ascii="NewBaskerville" w:hAnsi="NewBaskerville"/>
      <w:position w:val="4"/>
      <w:sz w:val="14"/>
      <w:vertAlign w:val="baseline"/>
    </w:rPr>
  </w:style>
  <w:style w:type="character" w:customStyle="1" w:styleId="DocumentChar">
    <w:name w:val="_Document Char"/>
    <w:basedOn w:val="DefaultParagraphFont"/>
    <w:link w:val="Document"/>
    <w:rsid w:val="00694850"/>
    <w:rPr>
      <w:rFonts w:ascii="NewBaskerville" w:eastAsia="Times New Roman" w:hAnsi="NewBaskerville" w:cs="Times New Roman"/>
      <w:sz w:val="22"/>
      <w:szCs w:val="20"/>
    </w:rPr>
  </w:style>
  <w:style w:type="character" w:customStyle="1" w:styleId="FootNoteChar">
    <w:name w:val="_FootNote Char"/>
    <w:basedOn w:val="DocumentChar"/>
    <w:link w:val="FootNote"/>
    <w:rsid w:val="00694850"/>
    <w:rPr>
      <w:rFonts w:ascii="NewBaskerville" w:eastAsia="Times New Roman" w:hAnsi="NewBaskerville" w:cs="Times New Roman"/>
      <w:sz w:val="17"/>
      <w:szCs w:val="20"/>
    </w:rPr>
  </w:style>
  <w:style w:type="paragraph" w:customStyle="1" w:styleId="1StQuoteFN">
    <w:name w:val="_1StQuoteFN"/>
    <w:basedOn w:val="FootNote"/>
    <w:next w:val="FootNote"/>
    <w:qFormat/>
    <w:rsid w:val="00B72EA7"/>
    <w:pPr>
      <w:spacing w:line="190" w:lineRule="exact"/>
      <w:ind w:left="600" w:right="600"/>
    </w:pPr>
  </w:style>
  <w:style w:type="character" w:customStyle="1" w:styleId="searchword">
    <w:name w:val="searchword"/>
    <w:basedOn w:val="DefaultParagraphFont"/>
    <w:rsid w:val="00944B5C"/>
    <w:rPr>
      <w:shd w:val="clear" w:color="auto" w:fill="FFFF00"/>
    </w:rPr>
  </w:style>
  <w:style w:type="character" w:styleId="PlaceholderText">
    <w:name w:val="Placeholder Text"/>
    <w:basedOn w:val="DefaultParagraphFont"/>
    <w:uiPriority w:val="99"/>
    <w:semiHidden/>
    <w:rsid w:val="00D578B0"/>
    <w:rPr>
      <w:color w:val="808080"/>
    </w:rPr>
  </w:style>
  <w:style w:type="paragraph" w:styleId="BalloonText">
    <w:name w:val="Balloon Text"/>
    <w:basedOn w:val="Normal"/>
    <w:link w:val="BalloonTextChar"/>
    <w:uiPriority w:val="99"/>
    <w:semiHidden/>
    <w:unhideWhenUsed/>
    <w:rsid w:val="00D578B0"/>
    <w:rPr>
      <w:rFonts w:ascii="Tahoma" w:hAnsi="Tahoma" w:cs="Tahoma"/>
      <w:sz w:val="16"/>
      <w:szCs w:val="16"/>
    </w:rPr>
  </w:style>
  <w:style w:type="character" w:customStyle="1" w:styleId="BalloonTextChar">
    <w:name w:val="Balloon Text Char"/>
    <w:basedOn w:val="DefaultParagraphFont"/>
    <w:link w:val="BalloonText"/>
    <w:uiPriority w:val="99"/>
    <w:semiHidden/>
    <w:rsid w:val="00D578B0"/>
    <w:rPr>
      <w:rFonts w:ascii="Tahoma" w:hAnsi="Tahoma" w:cs="Tahoma"/>
      <w:sz w:val="16"/>
      <w:szCs w:val="16"/>
    </w:rPr>
  </w:style>
  <w:style w:type="paragraph" w:customStyle="1" w:styleId="footnotete1">
    <w:name w:val="footnote te1"/>
    <w:uiPriority w:val="99"/>
    <w:rsid w:val="009F6C2C"/>
    <w:pPr>
      <w:widowControl w:val="0"/>
      <w:autoSpaceDE w:val="0"/>
      <w:autoSpaceDN w:val="0"/>
      <w:adjustRightInd w:val="0"/>
    </w:pPr>
    <w:rPr>
      <w:rFonts w:ascii="SimSun" w:eastAsia="SimSun" w:hAnsi="Times New Roman" w:cs="SimSun"/>
      <w:lang w:val="zh-CN" w:eastAsia="zh-CN"/>
    </w:rPr>
  </w:style>
  <w:style w:type="character" w:customStyle="1" w:styleId="documentbody">
    <w:name w:val="documentbody"/>
    <w:uiPriority w:val="99"/>
    <w:rsid w:val="009F6C2C"/>
  </w:style>
  <w:style w:type="paragraph" w:customStyle="1" w:styleId="Journalfont">
    <w:name w:val="_Journal font"/>
    <w:link w:val="JournalfontChar"/>
    <w:qFormat/>
    <w:rsid w:val="0005639A"/>
    <w:pPr>
      <w:widowControl w:val="0"/>
      <w:spacing w:line="260" w:lineRule="exact"/>
      <w:jc w:val="both"/>
    </w:pPr>
    <w:rPr>
      <w:rFonts w:ascii="NewBaskerville" w:eastAsia="Times New Roman" w:hAnsi="NewBaskerville" w:cs="Times New Roman"/>
      <w:sz w:val="22"/>
      <w:szCs w:val="20"/>
    </w:rPr>
  </w:style>
  <w:style w:type="character" w:customStyle="1" w:styleId="JournalfontChar">
    <w:name w:val="_Journal font Char"/>
    <w:basedOn w:val="DefaultParagraphFont"/>
    <w:link w:val="Journalfont"/>
    <w:rsid w:val="0005639A"/>
    <w:rPr>
      <w:rFonts w:ascii="NewBaskerville" w:eastAsia="Times New Roman" w:hAnsi="NewBaskerville" w:cs="Times New Roman"/>
      <w:sz w:val="22"/>
      <w:szCs w:val="20"/>
    </w:rPr>
  </w:style>
  <w:style w:type="paragraph" w:customStyle="1" w:styleId="SubHead3">
    <w:name w:val="_SubHead3"/>
    <w:basedOn w:val="Journalfont"/>
    <w:next w:val="Document"/>
    <w:qFormat/>
    <w:rsid w:val="00A97853"/>
    <w:pPr>
      <w:keepNext/>
      <w:suppressLineNumbers/>
      <w:tabs>
        <w:tab w:val="left" w:pos="860"/>
      </w:tabs>
      <w:suppressAutoHyphens/>
      <w:spacing w:before="200" w:after="80"/>
      <w:ind w:left="860" w:hanging="420"/>
      <w:jc w:val="left"/>
    </w:pPr>
  </w:style>
  <w:style w:type="character" w:customStyle="1" w:styleId="Hypertext">
    <w:name w:val="Hypertext"/>
    <w:uiPriority w:val="99"/>
    <w:rsid w:val="00F8385E"/>
    <w:rPr>
      <w:color w:val="0000FF"/>
      <w:u w:val="single"/>
    </w:rPr>
  </w:style>
  <w:style w:type="paragraph" w:styleId="NormalWeb">
    <w:name w:val="Normal (Web)"/>
    <w:basedOn w:val="Normal"/>
    <w:uiPriority w:val="99"/>
    <w:unhideWhenUsed/>
    <w:rsid w:val="00F13FAD"/>
    <w:pPr>
      <w:spacing w:before="100" w:beforeAutospacing="1" w:after="100" w:afterAutospacing="1"/>
    </w:pPr>
    <w:rPr>
      <w:rFonts w:ascii="Times New Roman" w:hAnsi="Times New Roman" w:cs="Times New Roman"/>
    </w:rPr>
  </w:style>
  <w:style w:type="character" w:customStyle="1" w:styleId="FootnoteTextChar1">
    <w:name w:val="Footnote Text Char1"/>
    <w:basedOn w:val="DefaultParagraphFont"/>
    <w:uiPriority w:val="99"/>
    <w:semiHidden/>
    <w:locked/>
    <w:rsid w:val="009A0020"/>
    <w:rPr>
      <w:rFonts w:ascii="Times New Roman" w:hAnsi="Times New Roman" w:cs="Times New Roman"/>
      <w:sz w:val="20"/>
      <w:szCs w:val="20"/>
    </w:rPr>
  </w:style>
  <w:style w:type="character" w:customStyle="1" w:styleId="apple-converted-space">
    <w:name w:val="apple-converted-space"/>
    <w:basedOn w:val="DefaultParagraphFont"/>
    <w:rsid w:val="00A14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24F87"/>
    <w:pPr>
      <w:tabs>
        <w:tab w:val="center" w:pos="4320"/>
        <w:tab w:val="right" w:pos="8640"/>
      </w:tabs>
    </w:pPr>
  </w:style>
  <w:style w:type="character" w:customStyle="1" w:styleId="FooterChar">
    <w:name w:val="Footer Char"/>
    <w:basedOn w:val="DefaultParagraphFont"/>
    <w:link w:val="Footer"/>
    <w:rsid w:val="00424F87"/>
  </w:style>
  <w:style w:type="character" w:styleId="PageNumber">
    <w:name w:val="page number"/>
    <w:basedOn w:val="DefaultParagraphFont"/>
    <w:uiPriority w:val="99"/>
    <w:semiHidden/>
    <w:unhideWhenUsed/>
    <w:rsid w:val="00424F87"/>
  </w:style>
  <w:style w:type="paragraph" w:styleId="FootnoteText">
    <w:name w:val="footnote text"/>
    <w:basedOn w:val="Normal"/>
    <w:link w:val="FootnoteTextChar"/>
    <w:uiPriority w:val="99"/>
    <w:rsid w:val="00DC34A2"/>
    <w:pPr>
      <w:spacing w:line="360" w:lineRule="auto"/>
      <w:ind w:firstLine="720"/>
    </w:pPr>
    <w:rPr>
      <w:rFonts w:ascii="Times New Roman" w:eastAsia="MS ??" w:hAnsi="Times New Roman" w:cs="Times New Roman"/>
    </w:rPr>
  </w:style>
  <w:style w:type="character" w:customStyle="1" w:styleId="FootnoteTextChar">
    <w:name w:val="Footnote Text Char"/>
    <w:basedOn w:val="DefaultParagraphFont"/>
    <w:link w:val="FootnoteText"/>
    <w:rsid w:val="00DC34A2"/>
    <w:rPr>
      <w:rFonts w:ascii="Times New Roman" w:eastAsia="MS ??" w:hAnsi="Times New Roman" w:cs="Times New Roman"/>
    </w:rPr>
  </w:style>
  <w:style w:type="character" w:styleId="FootnoteReference">
    <w:name w:val="footnote reference"/>
    <w:basedOn w:val="DefaultParagraphFont"/>
    <w:rsid w:val="00DC34A2"/>
    <w:rPr>
      <w:rFonts w:cs="Times New Roman"/>
      <w:vertAlign w:val="superscript"/>
    </w:rPr>
  </w:style>
  <w:style w:type="character" w:styleId="Hyperlink">
    <w:name w:val="Hyperlink"/>
    <w:basedOn w:val="DefaultParagraphFont"/>
    <w:uiPriority w:val="99"/>
    <w:rsid w:val="00DC34A2"/>
    <w:rPr>
      <w:rFonts w:cs="Times New Roman"/>
      <w:color w:val="0000FF"/>
      <w:u w:val="single"/>
    </w:rPr>
  </w:style>
  <w:style w:type="paragraph" w:styleId="ListParagraph">
    <w:name w:val="List Paragraph"/>
    <w:basedOn w:val="Normal"/>
    <w:uiPriority w:val="99"/>
    <w:qFormat/>
    <w:rsid w:val="0093411E"/>
    <w:pPr>
      <w:spacing w:line="360" w:lineRule="auto"/>
      <w:ind w:left="720" w:firstLine="720"/>
      <w:contextualSpacing/>
    </w:pPr>
    <w:rPr>
      <w:rFonts w:ascii="Times New Roman" w:eastAsia="MS ??" w:hAnsi="Times New Roman" w:cs="Times New Roman"/>
    </w:rPr>
  </w:style>
  <w:style w:type="paragraph" w:customStyle="1" w:styleId="ArticleTitle">
    <w:name w:val="Article Title"/>
    <w:basedOn w:val="Normal"/>
    <w:rsid w:val="00AD7BEF"/>
    <w:pPr>
      <w:widowControl w:val="0"/>
      <w:jc w:val="center"/>
    </w:pPr>
    <w:rPr>
      <w:rFonts w:ascii="CG Times" w:eastAsia="Times New Roman" w:hAnsi="CG Times" w:cs="Times New Roman"/>
      <w:caps/>
    </w:rPr>
  </w:style>
  <w:style w:type="paragraph" w:customStyle="1" w:styleId="footnotetex">
    <w:name w:val="footnote tex"/>
    <w:uiPriority w:val="99"/>
    <w:rsid w:val="00DE67EE"/>
    <w:pPr>
      <w:widowControl w:val="0"/>
      <w:autoSpaceDE w:val="0"/>
      <w:autoSpaceDN w:val="0"/>
      <w:adjustRightInd w:val="0"/>
    </w:pPr>
    <w:rPr>
      <w:rFonts w:ascii="SimSun" w:eastAsia="SimSun" w:hAnsi="Times New Roman" w:cs="SimSun"/>
      <w:lang w:val="zh-CN"/>
    </w:rPr>
  </w:style>
  <w:style w:type="paragraph" w:customStyle="1" w:styleId="Body1">
    <w:name w:val="Body 1"/>
    <w:uiPriority w:val="99"/>
    <w:rsid w:val="00DE67EE"/>
    <w:rPr>
      <w:rFonts w:ascii="Helvetica" w:eastAsia="?????? Pro W3" w:hAnsi="Helvetica" w:cs="Times New Roman"/>
      <w:color w:val="000000"/>
      <w:szCs w:val="20"/>
      <w:lang w:eastAsia="zh-CN"/>
    </w:rPr>
  </w:style>
  <w:style w:type="paragraph" w:customStyle="1" w:styleId="Document">
    <w:name w:val="_Document"/>
    <w:basedOn w:val="Normal"/>
    <w:link w:val="DocumentChar"/>
    <w:uiPriority w:val="99"/>
    <w:qFormat/>
    <w:rsid w:val="00694850"/>
    <w:pPr>
      <w:widowControl w:val="0"/>
      <w:suppressLineNumbers/>
      <w:tabs>
        <w:tab w:val="left" w:pos="0"/>
        <w:tab w:val="left" w:pos="440"/>
        <w:tab w:val="left" w:pos="620"/>
      </w:tabs>
      <w:spacing w:before="20" w:line="260" w:lineRule="exact"/>
      <w:ind w:firstLine="440"/>
      <w:jc w:val="both"/>
    </w:pPr>
    <w:rPr>
      <w:rFonts w:ascii="NewBaskerville" w:eastAsia="Times New Roman" w:hAnsi="NewBaskerville" w:cs="Times New Roman"/>
      <w:sz w:val="22"/>
      <w:szCs w:val="20"/>
    </w:rPr>
  </w:style>
  <w:style w:type="paragraph" w:customStyle="1" w:styleId="FootNote">
    <w:name w:val="_FootNote"/>
    <w:basedOn w:val="Document"/>
    <w:link w:val="FootNoteChar"/>
    <w:qFormat/>
    <w:rsid w:val="00694850"/>
    <w:pPr>
      <w:tabs>
        <w:tab w:val="clear" w:pos="0"/>
        <w:tab w:val="clear" w:pos="440"/>
        <w:tab w:val="clear" w:pos="620"/>
        <w:tab w:val="right" w:pos="360"/>
        <w:tab w:val="left" w:pos="560"/>
      </w:tabs>
      <w:spacing w:line="200" w:lineRule="exact"/>
      <w:ind w:firstLine="0"/>
    </w:pPr>
    <w:rPr>
      <w:sz w:val="17"/>
    </w:rPr>
  </w:style>
  <w:style w:type="character" w:customStyle="1" w:styleId="NoterefInText">
    <w:name w:val="_NoterefInText"/>
    <w:basedOn w:val="DefaultParagraphFont"/>
    <w:qFormat/>
    <w:rsid w:val="00694850"/>
    <w:rPr>
      <w:rFonts w:ascii="NewBaskerville" w:hAnsi="NewBaskerville"/>
      <w:spacing w:val="0"/>
      <w:w w:val="100"/>
      <w:position w:val="6"/>
      <w:sz w:val="13"/>
      <w:vertAlign w:val="baseline"/>
    </w:rPr>
  </w:style>
  <w:style w:type="character" w:customStyle="1" w:styleId="NoterefInNote">
    <w:name w:val="_NoterefInNote"/>
    <w:basedOn w:val="DefaultParagraphFont"/>
    <w:qFormat/>
    <w:rsid w:val="00694850"/>
    <w:rPr>
      <w:rFonts w:ascii="NewBaskerville" w:hAnsi="NewBaskerville"/>
      <w:position w:val="4"/>
      <w:sz w:val="14"/>
      <w:vertAlign w:val="baseline"/>
    </w:rPr>
  </w:style>
  <w:style w:type="character" w:customStyle="1" w:styleId="DocumentChar">
    <w:name w:val="_Document Char"/>
    <w:basedOn w:val="DefaultParagraphFont"/>
    <w:link w:val="Document"/>
    <w:rsid w:val="00694850"/>
    <w:rPr>
      <w:rFonts w:ascii="NewBaskerville" w:eastAsia="Times New Roman" w:hAnsi="NewBaskerville" w:cs="Times New Roman"/>
      <w:sz w:val="22"/>
      <w:szCs w:val="20"/>
    </w:rPr>
  </w:style>
  <w:style w:type="character" w:customStyle="1" w:styleId="FootNoteChar">
    <w:name w:val="_FootNote Char"/>
    <w:basedOn w:val="DocumentChar"/>
    <w:link w:val="FootNote"/>
    <w:rsid w:val="00694850"/>
    <w:rPr>
      <w:rFonts w:ascii="NewBaskerville" w:eastAsia="Times New Roman" w:hAnsi="NewBaskerville" w:cs="Times New Roman"/>
      <w:sz w:val="17"/>
      <w:szCs w:val="20"/>
    </w:rPr>
  </w:style>
  <w:style w:type="paragraph" w:customStyle="1" w:styleId="1StQuoteFN">
    <w:name w:val="_1StQuoteFN"/>
    <w:basedOn w:val="FootNote"/>
    <w:next w:val="FootNote"/>
    <w:qFormat/>
    <w:rsid w:val="00B72EA7"/>
    <w:pPr>
      <w:spacing w:line="190" w:lineRule="exact"/>
      <w:ind w:left="600" w:right="600"/>
    </w:pPr>
  </w:style>
  <w:style w:type="character" w:customStyle="1" w:styleId="searchword">
    <w:name w:val="searchword"/>
    <w:basedOn w:val="DefaultParagraphFont"/>
    <w:rsid w:val="00944B5C"/>
    <w:rPr>
      <w:shd w:val="clear" w:color="auto" w:fill="FFFF00"/>
    </w:rPr>
  </w:style>
  <w:style w:type="character" w:styleId="PlaceholderText">
    <w:name w:val="Placeholder Text"/>
    <w:basedOn w:val="DefaultParagraphFont"/>
    <w:uiPriority w:val="99"/>
    <w:semiHidden/>
    <w:rsid w:val="00D578B0"/>
    <w:rPr>
      <w:color w:val="808080"/>
    </w:rPr>
  </w:style>
  <w:style w:type="paragraph" w:styleId="BalloonText">
    <w:name w:val="Balloon Text"/>
    <w:basedOn w:val="Normal"/>
    <w:link w:val="BalloonTextChar"/>
    <w:uiPriority w:val="99"/>
    <w:semiHidden/>
    <w:unhideWhenUsed/>
    <w:rsid w:val="00D578B0"/>
    <w:rPr>
      <w:rFonts w:ascii="Tahoma" w:hAnsi="Tahoma" w:cs="Tahoma"/>
      <w:sz w:val="16"/>
      <w:szCs w:val="16"/>
    </w:rPr>
  </w:style>
  <w:style w:type="character" w:customStyle="1" w:styleId="BalloonTextChar">
    <w:name w:val="Balloon Text Char"/>
    <w:basedOn w:val="DefaultParagraphFont"/>
    <w:link w:val="BalloonText"/>
    <w:uiPriority w:val="99"/>
    <w:semiHidden/>
    <w:rsid w:val="00D578B0"/>
    <w:rPr>
      <w:rFonts w:ascii="Tahoma" w:hAnsi="Tahoma" w:cs="Tahoma"/>
      <w:sz w:val="16"/>
      <w:szCs w:val="16"/>
    </w:rPr>
  </w:style>
  <w:style w:type="paragraph" w:customStyle="1" w:styleId="footnotete1">
    <w:name w:val="footnote te1"/>
    <w:uiPriority w:val="99"/>
    <w:rsid w:val="009F6C2C"/>
    <w:pPr>
      <w:widowControl w:val="0"/>
      <w:autoSpaceDE w:val="0"/>
      <w:autoSpaceDN w:val="0"/>
      <w:adjustRightInd w:val="0"/>
    </w:pPr>
    <w:rPr>
      <w:rFonts w:ascii="SimSun" w:eastAsia="SimSun" w:hAnsi="Times New Roman" w:cs="SimSun"/>
      <w:lang w:val="zh-CN" w:eastAsia="zh-CN"/>
    </w:rPr>
  </w:style>
  <w:style w:type="character" w:customStyle="1" w:styleId="documentbody">
    <w:name w:val="documentbody"/>
    <w:uiPriority w:val="99"/>
    <w:rsid w:val="009F6C2C"/>
  </w:style>
  <w:style w:type="paragraph" w:customStyle="1" w:styleId="Journalfont">
    <w:name w:val="_Journal font"/>
    <w:link w:val="JournalfontChar"/>
    <w:qFormat/>
    <w:rsid w:val="0005639A"/>
    <w:pPr>
      <w:widowControl w:val="0"/>
      <w:spacing w:line="260" w:lineRule="exact"/>
      <w:jc w:val="both"/>
    </w:pPr>
    <w:rPr>
      <w:rFonts w:ascii="NewBaskerville" w:eastAsia="Times New Roman" w:hAnsi="NewBaskerville" w:cs="Times New Roman"/>
      <w:sz w:val="22"/>
      <w:szCs w:val="20"/>
    </w:rPr>
  </w:style>
  <w:style w:type="character" w:customStyle="1" w:styleId="JournalfontChar">
    <w:name w:val="_Journal font Char"/>
    <w:basedOn w:val="DefaultParagraphFont"/>
    <w:link w:val="Journalfont"/>
    <w:rsid w:val="0005639A"/>
    <w:rPr>
      <w:rFonts w:ascii="NewBaskerville" w:eastAsia="Times New Roman" w:hAnsi="NewBaskerville" w:cs="Times New Roman"/>
      <w:sz w:val="22"/>
      <w:szCs w:val="20"/>
    </w:rPr>
  </w:style>
  <w:style w:type="paragraph" w:customStyle="1" w:styleId="SubHead3">
    <w:name w:val="_SubHead3"/>
    <w:basedOn w:val="Journalfont"/>
    <w:next w:val="Document"/>
    <w:qFormat/>
    <w:rsid w:val="00A97853"/>
    <w:pPr>
      <w:keepNext/>
      <w:suppressLineNumbers/>
      <w:tabs>
        <w:tab w:val="left" w:pos="860"/>
      </w:tabs>
      <w:suppressAutoHyphens/>
      <w:spacing w:before="200" w:after="80"/>
      <w:ind w:left="860" w:hanging="420"/>
      <w:jc w:val="left"/>
    </w:pPr>
  </w:style>
  <w:style w:type="character" w:customStyle="1" w:styleId="Hypertext">
    <w:name w:val="Hypertext"/>
    <w:uiPriority w:val="99"/>
    <w:rsid w:val="00F8385E"/>
    <w:rPr>
      <w:color w:val="0000FF"/>
      <w:u w:val="single"/>
    </w:rPr>
  </w:style>
  <w:style w:type="paragraph" w:styleId="NormalWeb">
    <w:name w:val="Normal (Web)"/>
    <w:basedOn w:val="Normal"/>
    <w:uiPriority w:val="99"/>
    <w:unhideWhenUsed/>
    <w:rsid w:val="00F13FAD"/>
    <w:pPr>
      <w:spacing w:before="100" w:beforeAutospacing="1" w:after="100" w:afterAutospacing="1"/>
    </w:pPr>
    <w:rPr>
      <w:rFonts w:ascii="Times New Roman" w:hAnsi="Times New Roman" w:cs="Times New Roman"/>
    </w:rPr>
  </w:style>
  <w:style w:type="character" w:customStyle="1" w:styleId="FootnoteTextChar1">
    <w:name w:val="Footnote Text Char1"/>
    <w:basedOn w:val="DefaultParagraphFont"/>
    <w:uiPriority w:val="99"/>
    <w:semiHidden/>
    <w:locked/>
    <w:rsid w:val="009A0020"/>
    <w:rPr>
      <w:rFonts w:ascii="Times New Roman" w:hAnsi="Times New Roman" w:cs="Times New Roman"/>
      <w:sz w:val="20"/>
      <w:szCs w:val="20"/>
    </w:rPr>
  </w:style>
  <w:style w:type="character" w:customStyle="1" w:styleId="apple-converted-space">
    <w:name w:val="apple-converted-space"/>
    <w:basedOn w:val="DefaultParagraphFont"/>
    <w:rsid w:val="00A1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5604">
      <w:bodyDiv w:val="1"/>
      <w:marLeft w:val="0"/>
      <w:marRight w:val="0"/>
      <w:marTop w:val="0"/>
      <w:marBottom w:val="0"/>
      <w:divBdr>
        <w:top w:val="none" w:sz="0" w:space="0" w:color="auto"/>
        <w:left w:val="none" w:sz="0" w:space="0" w:color="auto"/>
        <w:bottom w:val="none" w:sz="0" w:space="0" w:color="auto"/>
        <w:right w:val="none" w:sz="0" w:space="0" w:color="auto"/>
      </w:divBdr>
    </w:div>
    <w:div w:id="1456364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necle.com" TargetMode="External"/><Relationship Id="rId2" Type="http://schemas.openxmlformats.org/officeDocument/2006/relationships/hyperlink" Target="http://contracts.onecle.com/apple/scis.mfg.1996.05.31.shtml" TargetMode="External"/><Relationship Id="rId1" Type="http://schemas.openxmlformats.org/officeDocument/2006/relationships/hyperlink" Target="http://ssrn.com/abstract=2245098" TargetMode="External"/><Relationship Id="rId4" Type="http://schemas.openxmlformats.org/officeDocument/2006/relationships/hyperlink" Target="http://cori.missou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5432-6661-4ABD-8EA7-A16CEBEC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6377</TotalTime>
  <Pages>38</Pages>
  <Words>9045</Words>
  <Characters>51561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Columbia Law School</Company>
  <LinksUpToDate>false</LinksUpToDate>
  <CharactersWithSpaces>60486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CLS Users</cp:lastModifiedBy>
  <cp:revision>4</cp:revision>
  <cp:lastPrinted>2015-04-01T15:07:00Z</cp:lastPrinted>
  <dcterms:created xsi:type="dcterms:W3CDTF">2015-04-14T18:58:00Z</dcterms:created>
  <dcterms:modified xsi:type="dcterms:W3CDTF">2015-04-20T21:23:00Z</dcterms:modified>
</cp:coreProperties>
</file>