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C2149" w14:textId="4CED1B1A" w:rsidR="00452907" w:rsidRDefault="00452907" w:rsidP="00452907">
      <w:pPr>
        <w:spacing w:after="0" w:line="240" w:lineRule="auto"/>
        <w:ind w:left="227" w:hanging="227"/>
        <w:jc w:val="both"/>
        <w:rPr>
          <w:rFonts w:asciiTheme="majorBidi" w:hAnsiTheme="majorBidi" w:cstheme="majorBidi"/>
        </w:rPr>
      </w:pPr>
      <w:r w:rsidRPr="00147458">
        <w:rPr>
          <w:rFonts w:asciiTheme="majorBidi" w:hAnsiTheme="majorBidi" w:cstheme="majorBidi"/>
          <w:b/>
          <w:bCs/>
        </w:rPr>
        <w:t>Environment, Animals, Agriculture</w:t>
      </w:r>
      <w:r w:rsidR="00414E6B">
        <w:rPr>
          <w:rFonts w:asciiTheme="majorBidi" w:hAnsiTheme="majorBidi" w:cstheme="majorBidi"/>
          <w:b/>
          <w:bCs/>
        </w:rPr>
        <w:t xml:space="preserve"> </w:t>
      </w:r>
    </w:p>
    <w:p w14:paraId="3F35A583" w14:textId="2DA61DD0" w:rsidR="009F460E" w:rsidRDefault="009F460E" w:rsidP="00452907">
      <w:pPr>
        <w:spacing w:after="0" w:line="240" w:lineRule="auto"/>
        <w:ind w:left="227" w:hanging="227"/>
        <w:jc w:val="both"/>
        <w:rPr>
          <w:rFonts w:asciiTheme="majorBidi" w:hAnsiTheme="majorBidi" w:cstheme="majorBidi"/>
        </w:rPr>
      </w:pPr>
    </w:p>
    <w:p w14:paraId="1EBC8D77" w14:textId="77777777" w:rsidR="009F460E" w:rsidRPr="00E70BEC" w:rsidRDefault="009F460E" w:rsidP="009F460E">
      <w:pPr>
        <w:spacing w:after="0" w:line="240" w:lineRule="auto"/>
        <w:ind w:left="227" w:hanging="227"/>
        <w:jc w:val="both"/>
        <w:rPr>
          <w:rFonts w:asciiTheme="majorBidi" w:hAnsiTheme="majorBidi" w:cstheme="majorBidi"/>
        </w:rPr>
      </w:pPr>
      <w:r w:rsidRPr="00E70BEC">
        <w:rPr>
          <w:rFonts w:asciiTheme="majorBidi" w:hAnsiTheme="majorBidi" w:cstheme="majorBidi"/>
        </w:rPr>
        <w:t>Updated September 2020</w:t>
      </w:r>
    </w:p>
    <w:p w14:paraId="58D28170" w14:textId="77777777" w:rsidR="009F460E" w:rsidRPr="00414E6B" w:rsidRDefault="009F460E" w:rsidP="00452907">
      <w:pPr>
        <w:spacing w:after="0" w:line="240" w:lineRule="auto"/>
        <w:ind w:left="227" w:hanging="227"/>
        <w:jc w:val="both"/>
        <w:rPr>
          <w:rFonts w:asciiTheme="majorBidi" w:hAnsiTheme="majorBidi" w:cstheme="majorBidi"/>
        </w:rPr>
      </w:pPr>
    </w:p>
    <w:p w14:paraId="12A5CE1B" w14:textId="77777777" w:rsidR="00452907" w:rsidRPr="00147458" w:rsidRDefault="00452907" w:rsidP="00452907">
      <w:pPr>
        <w:spacing w:after="0" w:line="240" w:lineRule="auto"/>
        <w:ind w:left="227" w:hanging="227"/>
        <w:jc w:val="both"/>
        <w:rPr>
          <w:rFonts w:asciiTheme="majorBidi" w:hAnsiTheme="majorBidi" w:cstheme="majorBidi"/>
          <w:b/>
          <w:bCs/>
          <w:sz w:val="20"/>
          <w:szCs w:val="20"/>
        </w:rPr>
      </w:pPr>
    </w:p>
    <w:tbl>
      <w:tblPr>
        <w:tblW w:w="8635" w:type="dxa"/>
        <w:tblLook w:val="04A0" w:firstRow="1" w:lastRow="0" w:firstColumn="1" w:lastColumn="0" w:noHBand="0" w:noVBand="1"/>
      </w:tblPr>
      <w:tblGrid>
        <w:gridCol w:w="8635"/>
      </w:tblGrid>
      <w:tr w:rsidR="00414E6B" w:rsidRPr="00414E6B" w14:paraId="2C923A45" w14:textId="77777777" w:rsidTr="00414E6B">
        <w:trPr>
          <w:trHeight w:val="280"/>
        </w:trPr>
        <w:tc>
          <w:tcPr>
            <w:tcW w:w="8635" w:type="dxa"/>
            <w:shd w:val="clear" w:color="auto" w:fill="auto"/>
            <w:noWrap/>
            <w:hideMark/>
          </w:tcPr>
          <w:p w14:paraId="7DE09A73"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Abu-Rabia, </w:t>
            </w:r>
            <w:proofErr w:type="spellStart"/>
            <w:r w:rsidRPr="00414E6B">
              <w:rPr>
                <w:rFonts w:ascii="Times New Roman" w:eastAsia="Times New Roman" w:hAnsi="Times New Roman" w:cs="Times New Roman"/>
                <w:color w:val="000000"/>
                <w:sz w:val="20"/>
                <w:szCs w:val="20"/>
              </w:rPr>
              <w:t>Aref</w:t>
            </w:r>
            <w:proofErr w:type="spellEnd"/>
            <w:r w:rsidRPr="00414E6B">
              <w:rPr>
                <w:rFonts w:ascii="Times New Roman" w:eastAsia="Times New Roman" w:hAnsi="Times New Roman" w:cs="Times New Roman"/>
                <w:color w:val="000000"/>
                <w:sz w:val="20"/>
                <w:szCs w:val="20"/>
              </w:rPr>
              <w:t xml:space="preserve">. "Negev Bedouin: Displacement, Forced Settlement and Conservation." In Dawn Chatty and Marcus Colchester eds. </w:t>
            </w:r>
            <w:r w:rsidRPr="00414E6B">
              <w:rPr>
                <w:rFonts w:ascii="Times New Roman" w:eastAsia="Times New Roman" w:hAnsi="Times New Roman" w:cs="Times New Roman"/>
                <w:i/>
                <w:iCs/>
                <w:color w:val="000000"/>
                <w:sz w:val="20"/>
                <w:szCs w:val="20"/>
              </w:rPr>
              <w:t>Conservation and Mobile Indigenous Peoples: Displacement, Forced Settlement, and Conservation</w:t>
            </w:r>
            <w:r w:rsidRPr="00414E6B">
              <w:rPr>
                <w:rFonts w:ascii="Times New Roman" w:eastAsia="Times New Roman" w:hAnsi="Times New Roman" w:cs="Times New Roman"/>
                <w:color w:val="000000"/>
                <w:sz w:val="20"/>
                <w:szCs w:val="20"/>
              </w:rPr>
              <w:t xml:space="preserve">. London: </w:t>
            </w:r>
            <w:proofErr w:type="spellStart"/>
            <w:r w:rsidRPr="00414E6B">
              <w:rPr>
                <w:rFonts w:ascii="Times New Roman" w:eastAsia="Times New Roman" w:hAnsi="Times New Roman" w:cs="Times New Roman"/>
                <w:color w:val="000000"/>
                <w:sz w:val="20"/>
                <w:szCs w:val="20"/>
              </w:rPr>
              <w:t>Berghahn</w:t>
            </w:r>
            <w:proofErr w:type="spellEnd"/>
            <w:r w:rsidRPr="00414E6B">
              <w:rPr>
                <w:rFonts w:ascii="Times New Roman" w:eastAsia="Times New Roman" w:hAnsi="Times New Roman" w:cs="Times New Roman"/>
                <w:color w:val="000000"/>
                <w:sz w:val="20"/>
                <w:szCs w:val="20"/>
              </w:rPr>
              <w:t xml:space="preserve"> (2002): 202-211.</w:t>
            </w:r>
          </w:p>
        </w:tc>
      </w:tr>
      <w:tr w:rsidR="00414E6B" w:rsidRPr="00414E6B" w14:paraId="1DFF04A7" w14:textId="77777777" w:rsidTr="00414E6B">
        <w:trPr>
          <w:trHeight w:val="280"/>
        </w:trPr>
        <w:tc>
          <w:tcPr>
            <w:tcW w:w="8635" w:type="dxa"/>
            <w:shd w:val="clear" w:color="auto" w:fill="auto"/>
            <w:noWrap/>
            <w:hideMark/>
          </w:tcPr>
          <w:p w14:paraId="00D232BA"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24E3FF4E"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Abu Rabia, Khalil. "Land Use Among the Bedouin." In Yaakov </w:t>
            </w:r>
            <w:proofErr w:type="spellStart"/>
            <w:r w:rsidRPr="00414E6B">
              <w:rPr>
                <w:rFonts w:ascii="Times New Roman" w:eastAsia="Times New Roman" w:hAnsi="Times New Roman" w:cs="Times New Roman"/>
                <w:color w:val="000000"/>
                <w:sz w:val="20"/>
                <w:szCs w:val="20"/>
              </w:rPr>
              <w:t>Eini</w:t>
            </w:r>
            <w:proofErr w:type="spellEnd"/>
            <w:r w:rsidRPr="00414E6B">
              <w:rPr>
                <w:rFonts w:ascii="Times New Roman" w:eastAsia="Times New Roman" w:hAnsi="Times New Roman" w:cs="Times New Roman"/>
                <w:color w:val="000000"/>
                <w:sz w:val="20"/>
                <w:szCs w:val="20"/>
              </w:rPr>
              <w:t xml:space="preserve"> and Ezra Orion eds. </w:t>
            </w:r>
            <w:r w:rsidRPr="00414E6B">
              <w:rPr>
                <w:rFonts w:ascii="Times New Roman" w:eastAsia="Times New Roman" w:hAnsi="Times New Roman" w:cs="Times New Roman"/>
                <w:i/>
                <w:iCs/>
                <w:color w:val="000000"/>
                <w:sz w:val="20"/>
                <w:szCs w:val="20"/>
              </w:rPr>
              <w:t>The Bedouin: Notes and Papers</w:t>
            </w:r>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Sede</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Boker</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Midreshet</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Sede</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Boker</w:t>
            </w:r>
            <w:proofErr w:type="spellEnd"/>
            <w:r w:rsidRPr="00414E6B">
              <w:rPr>
                <w:rFonts w:ascii="Times New Roman" w:eastAsia="Times New Roman" w:hAnsi="Times New Roman" w:cs="Times New Roman"/>
                <w:color w:val="000000"/>
                <w:sz w:val="20"/>
                <w:szCs w:val="20"/>
              </w:rPr>
              <w:t xml:space="preserve"> (1988): 119-123 (Hebrew).</w:t>
            </w:r>
          </w:p>
          <w:p w14:paraId="222AC81F" w14:textId="18DF9AAD" w:rsidR="00CE1481" w:rsidRDefault="00CE1481" w:rsidP="00414E6B">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!R8C2" \a \f 5 \h  \* MERGEFORMAT </w:instrText>
            </w:r>
            <w:r>
              <w:rPr>
                <w:rFonts w:ascii="Times New Roman" w:eastAsia="Times New Roman" w:hAnsi="Times New Roman" w:cs="Times New Roman"/>
                <w:color w:val="000000"/>
                <w:sz w:val="20"/>
                <w:szCs w:val="20"/>
              </w:rPr>
              <w:fldChar w:fldCharType="separate"/>
            </w:r>
          </w:p>
          <w:p w14:paraId="4FFA6F0B" w14:textId="770F7ABE" w:rsidR="00CE1481" w:rsidRDefault="00CE1481">
            <w:pPr>
              <w:spacing w:after="0" w:line="240" w:lineRule="auto"/>
              <w:ind w:left="227" w:hanging="227"/>
              <w:jc w:val="both"/>
              <w:rPr>
                <w:rFonts w:ascii="Times New Roman" w:eastAsia="Times New Roman" w:hAnsi="Times New Roman" w:cs="Times New Roman"/>
                <w:color w:val="000000"/>
                <w:sz w:val="20"/>
                <w:szCs w:val="20"/>
              </w:rPr>
            </w:pPr>
            <w:proofErr w:type="spellStart"/>
            <w:r w:rsidRPr="00502B8E">
              <w:rPr>
                <w:rFonts w:ascii="Times New Roman" w:eastAsia="Times New Roman" w:hAnsi="Times New Roman" w:cs="Times New Roman"/>
                <w:color w:val="000000"/>
                <w:sz w:val="20"/>
                <w:szCs w:val="20"/>
              </w:rPr>
              <w:t>Agbaria</w:t>
            </w:r>
            <w:proofErr w:type="spellEnd"/>
            <w:r w:rsidRPr="00502B8E">
              <w:rPr>
                <w:rFonts w:ascii="Times New Roman" w:eastAsia="Times New Roman" w:hAnsi="Times New Roman" w:cs="Times New Roman"/>
                <w:color w:val="000000"/>
                <w:sz w:val="20"/>
                <w:szCs w:val="20"/>
              </w:rPr>
              <w:t xml:space="preserve">, Rabia. "A Struggle Drenched with Za'atar: About Palestinian Edible Plants and the Flora Protection Laws in Israeli Legislation." in Raef </w:t>
            </w:r>
            <w:proofErr w:type="spellStart"/>
            <w:r w:rsidRPr="00502B8E">
              <w:rPr>
                <w:rFonts w:ascii="Times New Roman" w:eastAsia="Times New Roman" w:hAnsi="Times New Roman" w:cs="Times New Roman"/>
                <w:color w:val="000000"/>
                <w:sz w:val="20"/>
                <w:szCs w:val="20"/>
              </w:rPr>
              <w:t>Zreik</w:t>
            </w:r>
            <w:proofErr w:type="spellEnd"/>
            <w:r w:rsidRPr="00502B8E">
              <w:rPr>
                <w:rFonts w:ascii="Times New Roman" w:eastAsia="Times New Roman" w:hAnsi="Times New Roman" w:cs="Times New Roman"/>
                <w:color w:val="000000"/>
                <w:sz w:val="20"/>
                <w:szCs w:val="20"/>
              </w:rPr>
              <w:t xml:space="preserve"> and </w:t>
            </w:r>
            <w:proofErr w:type="spellStart"/>
            <w:r w:rsidRPr="00502B8E">
              <w:rPr>
                <w:rFonts w:ascii="Times New Roman" w:eastAsia="Times New Roman" w:hAnsi="Times New Roman" w:cs="Times New Roman"/>
                <w:color w:val="000000"/>
                <w:sz w:val="20"/>
                <w:szCs w:val="20"/>
              </w:rPr>
              <w:t>Ilan</w:t>
            </w:r>
            <w:proofErr w:type="spellEnd"/>
            <w:r w:rsidRPr="00502B8E">
              <w:rPr>
                <w:rFonts w:ascii="Times New Roman" w:eastAsia="Times New Roman" w:hAnsi="Times New Roman" w:cs="Times New Roman"/>
                <w:color w:val="000000"/>
                <w:sz w:val="20"/>
                <w:szCs w:val="20"/>
              </w:rPr>
              <w:t xml:space="preserve"> </w:t>
            </w:r>
            <w:proofErr w:type="spellStart"/>
            <w:r w:rsidRPr="00502B8E">
              <w:rPr>
                <w:rFonts w:ascii="Times New Roman" w:eastAsia="Times New Roman" w:hAnsi="Times New Roman" w:cs="Times New Roman"/>
                <w:color w:val="000000"/>
                <w:sz w:val="20"/>
                <w:szCs w:val="20"/>
              </w:rPr>
              <w:t>Saban</w:t>
            </w:r>
            <w:proofErr w:type="spellEnd"/>
            <w:r w:rsidRPr="00502B8E">
              <w:rPr>
                <w:rFonts w:ascii="Times New Roman" w:eastAsia="Times New Roman" w:hAnsi="Times New Roman" w:cs="Times New Roman"/>
                <w:color w:val="000000"/>
                <w:sz w:val="20"/>
                <w:szCs w:val="20"/>
              </w:rPr>
              <w:t xml:space="preserve"> eds. </w:t>
            </w:r>
            <w:r w:rsidRPr="00502B8E">
              <w:rPr>
                <w:rFonts w:ascii="Times New Roman" w:eastAsia="Times New Roman" w:hAnsi="Times New Roman" w:cs="Times New Roman"/>
                <w:i/>
                <w:iCs/>
                <w:color w:val="000000"/>
                <w:sz w:val="20"/>
                <w:szCs w:val="20"/>
              </w:rPr>
              <w:t>Law, Minority and National Conflict</w:t>
            </w:r>
            <w:r w:rsidRPr="00502B8E">
              <w:rPr>
                <w:rFonts w:ascii="Times New Roman" w:eastAsia="Times New Roman" w:hAnsi="Times New Roman" w:cs="Times New Roman"/>
                <w:color w:val="000000"/>
                <w:sz w:val="20"/>
                <w:szCs w:val="20"/>
              </w:rPr>
              <w:t xml:space="preserve">. Tel Aviv: Tel Aviv University Law Faculty (2017): 497-533 (Hebrew). </w:t>
            </w:r>
          </w:p>
          <w:p w14:paraId="27E4CEAD" w14:textId="77777777" w:rsidR="0016323D" w:rsidRPr="00502B8E" w:rsidRDefault="0016323D" w:rsidP="00502B8E">
            <w:pPr>
              <w:spacing w:after="0" w:line="240" w:lineRule="auto"/>
              <w:ind w:left="227" w:hanging="227"/>
              <w:jc w:val="both"/>
              <w:rPr>
                <w:rFonts w:ascii="Times New Roman" w:eastAsia="Times New Roman" w:hAnsi="Times New Roman" w:cs="Times New Roman"/>
                <w:color w:val="000000"/>
                <w:sz w:val="20"/>
                <w:szCs w:val="20"/>
              </w:rPr>
            </w:pPr>
          </w:p>
          <w:p w14:paraId="1AF0ABE4" w14:textId="14B24881" w:rsidR="00CE1481" w:rsidRPr="00414E6B" w:rsidRDefault="00CE1481" w:rsidP="00E866FB">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p>
        </w:tc>
      </w:tr>
      <w:tr w:rsidR="00414E6B" w:rsidRPr="00414E6B" w14:paraId="73C6503F" w14:textId="77777777" w:rsidTr="00414E6B">
        <w:trPr>
          <w:trHeight w:val="280"/>
        </w:trPr>
        <w:tc>
          <w:tcPr>
            <w:tcW w:w="8635" w:type="dxa"/>
            <w:shd w:val="clear" w:color="auto" w:fill="auto"/>
            <w:noWrap/>
            <w:hideMark/>
          </w:tcPr>
          <w:p w14:paraId="5FEBCA8C"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Alon, Tal. </w:t>
            </w:r>
            <w:r w:rsidRPr="00414E6B">
              <w:rPr>
                <w:rFonts w:ascii="Times New Roman" w:eastAsia="Times New Roman" w:hAnsi="Times New Roman" w:cs="Times New Roman"/>
                <w:i/>
                <w:iCs/>
                <w:color w:val="000000"/>
                <w:sz w:val="20"/>
                <w:szCs w:val="20"/>
              </w:rPr>
              <w:t>Pollution in a Promised Land: An Environmental History of Israel</w:t>
            </w:r>
            <w:r w:rsidRPr="00414E6B">
              <w:rPr>
                <w:rFonts w:ascii="Times New Roman" w:eastAsia="Times New Roman" w:hAnsi="Times New Roman" w:cs="Times New Roman"/>
                <w:color w:val="000000"/>
                <w:sz w:val="20"/>
                <w:szCs w:val="20"/>
              </w:rPr>
              <w:t>. Berkeley: University of California Press (2002).</w:t>
            </w:r>
          </w:p>
        </w:tc>
      </w:tr>
      <w:tr w:rsidR="00414E6B" w:rsidRPr="00414E6B" w14:paraId="51FADA1C" w14:textId="77777777" w:rsidTr="00414E6B">
        <w:trPr>
          <w:trHeight w:val="280"/>
        </w:trPr>
        <w:tc>
          <w:tcPr>
            <w:tcW w:w="8635" w:type="dxa"/>
            <w:shd w:val="clear" w:color="auto" w:fill="auto"/>
            <w:noWrap/>
            <w:hideMark/>
          </w:tcPr>
          <w:p w14:paraId="1A01769A"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452FB33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Amara, Ahmad. "The Negev Land Question: Between Denial and Recognition."</w:t>
            </w:r>
            <w:r w:rsidRPr="00414E6B">
              <w:rPr>
                <w:rFonts w:ascii="Times New Roman" w:eastAsia="Times New Roman" w:hAnsi="Times New Roman" w:cs="Times New Roman"/>
                <w:i/>
                <w:iCs/>
                <w:color w:val="000000"/>
                <w:sz w:val="20"/>
                <w:szCs w:val="20"/>
              </w:rPr>
              <w:t xml:space="preserve"> Journal of Palestine Studies</w:t>
            </w:r>
            <w:r w:rsidRPr="00414E6B">
              <w:rPr>
                <w:rFonts w:ascii="Times New Roman" w:eastAsia="Times New Roman" w:hAnsi="Times New Roman" w:cs="Times New Roman"/>
                <w:color w:val="000000"/>
                <w:sz w:val="20"/>
                <w:szCs w:val="20"/>
              </w:rPr>
              <w:t xml:space="preserve"> 42 (2013): 27-47.</w:t>
            </w:r>
          </w:p>
        </w:tc>
      </w:tr>
      <w:tr w:rsidR="00414E6B" w:rsidRPr="00414E6B" w14:paraId="0EE39BC5" w14:textId="77777777" w:rsidTr="00414E6B">
        <w:trPr>
          <w:trHeight w:val="280"/>
        </w:trPr>
        <w:tc>
          <w:tcPr>
            <w:tcW w:w="8635" w:type="dxa"/>
            <w:shd w:val="clear" w:color="auto" w:fill="auto"/>
            <w:noWrap/>
            <w:hideMark/>
          </w:tcPr>
          <w:p w14:paraId="1F8E468E"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30357C0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Atran</w:t>
            </w:r>
            <w:proofErr w:type="spellEnd"/>
            <w:r w:rsidRPr="00414E6B">
              <w:rPr>
                <w:rFonts w:ascii="Times New Roman" w:eastAsia="Times New Roman" w:hAnsi="Times New Roman" w:cs="Times New Roman"/>
                <w:color w:val="000000"/>
                <w:sz w:val="20"/>
                <w:szCs w:val="20"/>
              </w:rPr>
              <w:t>, Scott. "</w:t>
            </w:r>
            <w:proofErr w:type="spellStart"/>
            <w:r w:rsidRPr="00414E6B">
              <w:rPr>
                <w:rFonts w:ascii="Times New Roman" w:eastAsia="Times New Roman" w:hAnsi="Times New Roman" w:cs="Times New Roman"/>
                <w:color w:val="000000"/>
                <w:sz w:val="20"/>
                <w:szCs w:val="20"/>
              </w:rPr>
              <w:t>Hamula</w:t>
            </w:r>
            <w:proofErr w:type="spellEnd"/>
            <w:r w:rsidRPr="00414E6B">
              <w:rPr>
                <w:rFonts w:ascii="Times New Roman" w:eastAsia="Times New Roman" w:hAnsi="Times New Roman" w:cs="Times New Roman"/>
                <w:color w:val="000000"/>
                <w:sz w:val="20"/>
                <w:szCs w:val="20"/>
              </w:rPr>
              <w:t xml:space="preserve"> Organization and </w:t>
            </w:r>
            <w:proofErr w:type="spellStart"/>
            <w:r w:rsidRPr="00414E6B">
              <w:rPr>
                <w:rFonts w:ascii="Times New Roman" w:eastAsia="Times New Roman" w:hAnsi="Times New Roman" w:cs="Times New Roman"/>
                <w:color w:val="000000"/>
                <w:sz w:val="20"/>
                <w:szCs w:val="20"/>
              </w:rPr>
              <w:t>Masha’a</w:t>
            </w:r>
            <w:proofErr w:type="spellEnd"/>
            <w:r w:rsidRPr="00414E6B">
              <w:rPr>
                <w:rFonts w:ascii="Times New Roman" w:eastAsia="Times New Roman" w:hAnsi="Times New Roman" w:cs="Times New Roman"/>
                <w:color w:val="000000"/>
                <w:sz w:val="20"/>
                <w:szCs w:val="20"/>
              </w:rPr>
              <w:t xml:space="preserve"> Tenure in Palestine." </w:t>
            </w:r>
            <w:r w:rsidRPr="00414E6B">
              <w:rPr>
                <w:rFonts w:ascii="Times New Roman" w:eastAsia="Times New Roman" w:hAnsi="Times New Roman" w:cs="Times New Roman"/>
                <w:i/>
                <w:iCs/>
                <w:color w:val="000000"/>
                <w:sz w:val="20"/>
                <w:szCs w:val="20"/>
              </w:rPr>
              <w:t>Man</w:t>
            </w:r>
            <w:r w:rsidRPr="00414E6B">
              <w:rPr>
                <w:rFonts w:ascii="Times New Roman" w:eastAsia="Times New Roman" w:hAnsi="Times New Roman" w:cs="Times New Roman"/>
                <w:color w:val="000000"/>
                <w:sz w:val="20"/>
                <w:szCs w:val="20"/>
              </w:rPr>
              <w:t xml:space="preserve"> 21(2) (1986): 271-295.</w:t>
            </w:r>
          </w:p>
        </w:tc>
      </w:tr>
      <w:tr w:rsidR="00414E6B" w:rsidRPr="00414E6B" w14:paraId="30295D1E" w14:textId="77777777" w:rsidTr="00414E6B">
        <w:trPr>
          <w:trHeight w:val="280"/>
        </w:trPr>
        <w:tc>
          <w:tcPr>
            <w:tcW w:w="8635" w:type="dxa"/>
            <w:shd w:val="clear" w:color="auto" w:fill="auto"/>
            <w:noWrap/>
            <w:hideMark/>
          </w:tcPr>
          <w:p w14:paraId="4CDB80C6"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1BE80C37"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Aytekin</w:t>
            </w:r>
            <w:proofErr w:type="spellEnd"/>
            <w:r w:rsidRPr="00414E6B">
              <w:rPr>
                <w:rFonts w:ascii="Times New Roman" w:eastAsia="Times New Roman" w:hAnsi="Times New Roman" w:cs="Times New Roman"/>
                <w:color w:val="000000"/>
                <w:sz w:val="20"/>
                <w:szCs w:val="20"/>
              </w:rPr>
              <w:t>, E. Attila. "Agrarian Relations, Property and Law: An Analysis of the Land Code of 1858 in the Ottoman Empire."</w:t>
            </w:r>
            <w:r w:rsidRPr="00414E6B">
              <w:rPr>
                <w:rFonts w:ascii="Times New Roman" w:eastAsia="Times New Roman" w:hAnsi="Times New Roman" w:cs="Times New Roman"/>
                <w:i/>
                <w:iCs/>
                <w:color w:val="000000"/>
                <w:sz w:val="20"/>
                <w:szCs w:val="20"/>
              </w:rPr>
              <w:t xml:space="preserve"> Middle Eastern Studies</w:t>
            </w:r>
            <w:r w:rsidRPr="00414E6B">
              <w:rPr>
                <w:rFonts w:ascii="Times New Roman" w:eastAsia="Times New Roman" w:hAnsi="Times New Roman" w:cs="Times New Roman"/>
                <w:color w:val="000000"/>
                <w:sz w:val="20"/>
                <w:szCs w:val="20"/>
              </w:rPr>
              <w:t xml:space="preserve"> 45(6) (2009): 935-951.</w:t>
            </w:r>
          </w:p>
        </w:tc>
      </w:tr>
      <w:tr w:rsidR="00414E6B" w:rsidRPr="00414E6B" w14:paraId="103BA144" w14:textId="77777777" w:rsidTr="00414E6B">
        <w:trPr>
          <w:trHeight w:val="280"/>
        </w:trPr>
        <w:tc>
          <w:tcPr>
            <w:tcW w:w="8635" w:type="dxa"/>
            <w:shd w:val="clear" w:color="auto" w:fill="auto"/>
            <w:noWrap/>
            <w:hideMark/>
          </w:tcPr>
          <w:p w14:paraId="3DE61826"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3F3931E3"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Bar-Cohen, Anat.</w:t>
            </w:r>
            <w:r w:rsidRPr="00414E6B">
              <w:rPr>
                <w:rFonts w:ascii="Times New Roman" w:eastAsia="Times New Roman" w:hAnsi="Times New Roman" w:cs="Times New Roman"/>
                <w:i/>
                <w:iCs/>
                <w:color w:val="000000"/>
                <w:sz w:val="20"/>
                <w:szCs w:val="20"/>
              </w:rPr>
              <w:t xml:space="preserve"> The Relationship Between Environmental Conditions and Traditional Rural Settlement and Agrarian Conditions in Menashe Plateau Before 1948</w:t>
            </w:r>
            <w:r w:rsidRPr="00414E6B">
              <w:rPr>
                <w:rFonts w:ascii="Times New Roman" w:eastAsia="Times New Roman" w:hAnsi="Times New Roman" w:cs="Times New Roman"/>
                <w:color w:val="000000"/>
                <w:sz w:val="20"/>
                <w:szCs w:val="20"/>
              </w:rPr>
              <w:t xml:space="preserve"> (2001) (unpublished M.A. thesis, Bar-</w:t>
            </w:r>
            <w:proofErr w:type="spellStart"/>
            <w:r w:rsidRPr="00414E6B">
              <w:rPr>
                <w:rFonts w:ascii="Times New Roman" w:eastAsia="Times New Roman" w:hAnsi="Times New Roman" w:cs="Times New Roman"/>
                <w:color w:val="000000"/>
                <w:sz w:val="20"/>
                <w:szCs w:val="20"/>
              </w:rPr>
              <w:t>Ilan</w:t>
            </w:r>
            <w:proofErr w:type="spellEnd"/>
            <w:r w:rsidRPr="00414E6B">
              <w:rPr>
                <w:rFonts w:ascii="Times New Roman" w:eastAsia="Times New Roman" w:hAnsi="Times New Roman" w:cs="Times New Roman"/>
                <w:color w:val="000000"/>
                <w:sz w:val="20"/>
                <w:szCs w:val="20"/>
              </w:rPr>
              <w:t xml:space="preserve"> University) (Hebrew).</w:t>
            </w:r>
          </w:p>
        </w:tc>
      </w:tr>
      <w:tr w:rsidR="00414E6B" w:rsidRPr="00414E6B" w14:paraId="648488F3" w14:textId="77777777" w:rsidTr="00414E6B">
        <w:trPr>
          <w:trHeight w:val="280"/>
        </w:trPr>
        <w:tc>
          <w:tcPr>
            <w:tcW w:w="8635" w:type="dxa"/>
            <w:shd w:val="clear" w:color="auto" w:fill="auto"/>
            <w:noWrap/>
            <w:hideMark/>
          </w:tcPr>
          <w:p w14:paraId="5AA67256"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3E7D35C4"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Ben-</w:t>
            </w:r>
            <w:proofErr w:type="spellStart"/>
            <w:r w:rsidRPr="00414E6B">
              <w:rPr>
                <w:rFonts w:ascii="Times New Roman" w:eastAsia="Times New Roman" w:hAnsi="Times New Roman" w:cs="Times New Roman"/>
                <w:color w:val="000000"/>
                <w:sz w:val="20"/>
                <w:szCs w:val="20"/>
              </w:rPr>
              <w:t>Artzi</w:t>
            </w:r>
            <w:proofErr w:type="spellEnd"/>
            <w:r w:rsidRPr="00414E6B">
              <w:rPr>
                <w:rFonts w:ascii="Times New Roman" w:eastAsia="Times New Roman" w:hAnsi="Times New Roman" w:cs="Times New Roman"/>
                <w:color w:val="000000"/>
                <w:sz w:val="20"/>
                <w:szCs w:val="20"/>
              </w:rPr>
              <w:t xml:space="preserve">, Yossi, Ruth </w:t>
            </w:r>
            <w:proofErr w:type="spellStart"/>
            <w:r w:rsidRPr="00414E6B">
              <w:rPr>
                <w:rFonts w:ascii="Times New Roman" w:eastAsia="Times New Roman" w:hAnsi="Times New Roman" w:cs="Times New Roman"/>
                <w:color w:val="000000"/>
                <w:sz w:val="20"/>
                <w:szCs w:val="20"/>
              </w:rPr>
              <w:t>Kark</w:t>
            </w:r>
            <w:proofErr w:type="spellEnd"/>
            <w:r w:rsidRPr="00414E6B">
              <w:rPr>
                <w:rFonts w:ascii="Times New Roman" w:eastAsia="Times New Roman" w:hAnsi="Times New Roman" w:cs="Times New Roman"/>
                <w:color w:val="000000"/>
                <w:sz w:val="20"/>
                <w:szCs w:val="20"/>
              </w:rPr>
              <w:t xml:space="preserve"> and Ran </w:t>
            </w:r>
            <w:proofErr w:type="spellStart"/>
            <w:r w:rsidRPr="00414E6B">
              <w:rPr>
                <w:rFonts w:ascii="Times New Roman" w:eastAsia="Times New Roman" w:hAnsi="Times New Roman" w:cs="Times New Roman"/>
                <w:color w:val="000000"/>
                <w:sz w:val="20"/>
                <w:szCs w:val="20"/>
              </w:rPr>
              <w:t>Aaronsohn</w:t>
            </w:r>
            <w:proofErr w:type="spellEnd"/>
            <w:r w:rsidRPr="00414E6B">
              <w:rPr>
                <w:rFonts w:ascii="Times New Roman" w:eastAsia="Times New Roman" w:hAnsi="Times New Roman" w:cs="Times New Roman"/>
                <w:color w:val="000000"/>
                <w:sz w:val="20"/>
                <w:szCs w:val="20"/>
              </w:rPr>
              <w:t xml:space="preserve">. "Function of Jewish Settlement Sites in Palestine 1882-1914, Before Purchase – Khans or Estates?" </w:t>
            </w:r>
            <w:r w:rsidRPr="00414E6B">
              <w:rPr>
                <w:rFonts w:ascii="Times New Roman" w:eastAsia="Times New Roman" w:hAnsi="Times New Roman" w:cs="Times New Roman"/>
                <w:i/>
                <w:iCs/>
                <w:color w:val="000000"/>
                <w:sz w:val="20"/>
                <w:szCs w:val="20"/>
              </w:rPr>
              <w:t>Zionism: Studies in the History of the Zionist Movement and the Jewish Community in Palestine</w:t>
            </w:r>
            <w:r w:rsidRPr="00414E6B">
              <w:rPr>
                <w:rFonts w:ascii="Times New Roman" w:eastAsia="Times New Roman" w:hAnsi="Times New Roman" w:cs="Times New Roman"/>
                <w:color w:val="000000"/>
                <w:sz w:val="20"/>
                <w:szCs w:val="20"/>
              </w:rPr>
              <w:t xml:space="preserve"> 13 (1988): 263-284 (Hebrew).</w:t>
            </w:r>
          </w:p>
        </w:tc>
      </w:tr>
      <w:tr w:rsidR="00414E6B" w:rsidRPr="00414E6B" w14:paraId="777F8E2A" w14:textId="77777777" w:rsidTr="00414E6B">
        <w:trPr>
          <w:trHeight w:val="280"/>
        </w:trPr>
        <w:tc>
          <w:tcPr>
            <w:tcW w:w="8635" w:type="dxa"/>
            <w:shd w:val="clear" w:color="auto" w:fill="auto"/>
            <w:noWrap/>
            <w:hideMark/>
          </w:tcPr>
          <w:p w14:paraId="4B86CFEF"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0DE3CEC2"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El-</w:t>
            </w:r>
            <w:proofErr w:type="spellStart"/>
            <w:r w:rsidRPr="00414E6B">
              <w:rPr>
                <w:rFonts w:ascii="Times New Roman" w:eastAsia="Times New Roman" w:hAnsi="Times New Roman" w:cs="Times New Roman"/>
                <w:color w:val="000000"/>
                <w:sz w:val="20"/>
                <w:szCs w:val="20"/>
              </w:rPr>
              <w:t>Eini</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Roza</w:t>
            </w:r>
            <w:proofErr w:type="spellEnd"/>
            <w:r w:rsidRPr="00414E6B">
              <w:rPr>
                <w:rFonts w:ascii="Times New Roman" w:eastAsia="Times New Roman" w:hAnsi="Times New Roman" w:cs="Times New Roman"/>
                <w:color w:val="000000"/>
                <w:sz w:val="20"/>
                <w:szCs w:val="20"/>
              </w:rPr>
              <w:t xml:space="preserve"> I. M. "Rural Indebtedness and Agricultural Credit Supplies in Palestine in the 1930s." </w:t>
            </w:r>
            <w:r w:rsidRPr="00414E6B">
              <w:rPr>
                <w:rFonts w:ascii="Times New Roman" w:eastAsia="Times New Roman" w:hAnsi="Times New Roman" w:cs="Times New Roman"/>
                <w:i/>
                <w:iCs/>
                <w:color w:val="000000"/>
                <w:sz w:val="20"/>
                <w:szCs w:val="20"/>
              </w:rPr>
              <w:t>Middle Eastern Studies</w:t>
            </w:r>
            <w:r w:rsidRPr="00414E6B">
              <w:rPr>
                <w:rFonts w:ascii="Times New Roman" w:eastAsia="Times New Roman" w:hAnsi="Times New Roman" w:cs="Times New Roman"/>
                <w:color w:val="000000"/>
                <w:sz w:val="20"/>
                <w:szCs w:val="20"/>
              </w:rPr>
              <w:t xml:space="preserve"> 33 (1997): 313-337.</w:t>
            </w:r>
          </w:p>
        </w:tc>
      </w:tr>
      <w:tr w:rsidR="00414E6B" w:rsidRPr="00414E6B" w14:paraId="78CA01DF" w14:textId="77777777" w:rsidTr="00414E6B">
        <w:trPr>
          <w:trHeight w:val="280"/>
        </w:trPr>
        <w:tc>
          <w:tcPr>
            <w:tcW w:w="8635" w:type="dxa"/>
            <w:shd w:val="clear" w:color="auto" w:fill="auto"/>
            <w:noWrap/>
            <w:hideMark/>
          </w:tcPr>
          <w:p w14:paraId="737DC91B"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3B9907B8"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Government of Palestine. </w:t>
            </w:r>
            <w:r w:rsidRPr="00414E6B">
              <w:rPr>
                <w:rFonts w:ascii="Times New Roman" w:eastAsia="Times New Roman" w:hAnsi="Times New Roman" w:cs="Times New Roman"/>
                <w:i/>
                <w:iCs/>
                <w:color w:val="000000"/>
                <w:sz w:val="20"/>
                <w:szCs w:val="20"/>
              </w:rPr>
              <w:t>Report of a Committee on the Economic Conditions of Agriculturalists in Palestine and the Fiscal Measures of Government in Relation Thereto</w:t>
            </w:r>
            <w:r w:rsidRPr="00414E6B">
              <w:rPr>
                <w:rFonts w:ascii="Times New Roman" w:eastAsia="Times New Roman" w:hAnsi="Times New Roman" w:cs="Times New Roman"/>
                <w:color w:val="000000"/>
                <w:sz w:val="20"/>
                <w:szCs w:val="20"/>
              </w:rPr>
              <w:t>. Jerusalem: Greek Conv. Press (1930).</w:t>
            </w:r>
          </w:p>
        </w:tc>
      </w:tr>
      <w:tr w:rsidR="00414E6B" w:rsidRPr="00414E6B" w14:paraId="156D256A" w14:textId="77777777" w:rsidTr="00414E6B">
        <w:trPr>
          <w:trHeight w:val="280"/>
        </w:trPr>
        <w:tc>
          <w:tcPr>
            <w:tcW w:w="8635" w:type="dxa"/>
            <w:shd w:val="clear" w:color="auto" w:fill="auto"/>
            <w:noWrap/>
            <w:hideMark/>
          </w:tcPr>
          <w:p w14:paraId="78B6B4A8"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143D798F"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Havatzelet</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Yahel</w:t>
            </w:r>
            <w:proofErr w:type="spellEnd"/>
            <w:r w:rsidRPr="00414E6B">
              <w:rPr>
                <w:rFonts w:ascii="Times New Roman" w:eastAsia="Times New Roman" w:hAnsi="Times New Roman" w:cs="Times New Roman"/>
                <w:color w:val="000000"/>
                <w:sz w:val="20"/>
                <w:szCs w:val="20"/>
              </w:rPr>
              <w:t xml:space="preserve">. "Land Dispute between Israel and the Bedouin of the Negev." </w:t>
            </w:r>
            <w:r w:rsidRPr="00414E6B">
              <w:rPr>
                <w:rFonts w:ascii="Times New Roman" w:eastAsia="Times New Roman" w:hAnsi="Times New Roman" w:cs="Times New Roman"/>
                <w:i/>
                <w:iCs/>
                <w:color w:val="000000"/>
                <w:sz w:val="20"/>
                <w:szCs w:val="20"/>
              </w:rPr>
              <w:t>Israel Studies</w:t>
            </w:r>
            <w:r w:rsidRPr="00414E6B">
              <w:rPr>
                <w:rFonts w:ascii="Times New Roman" w:eastAsia="Times New Roman" w:hAnsi="Times New Roman" w:cs="Times New Roman"/>
                <w:color w:val="000000"/>
                <w:sz w:val="20"/>
                <w:szCs w:val="20"/>
              </w:rPr>
              <w:t xml:space="preserve"> 11(2) (2006): 1-22.</w:t>
            </w:r>
          </w:p>
        </w:tc>
      </w:tr>
      <w:tr w:rsidR="00414E6B" w:rsidRPr="00414E6B" w14:paraId="26497C49" w14:textId="77777777" w:rsidTr="00414E6B">
        <w:trPr>
          <w:trHeight w:val="280"/>
        </w:trPr>
        <w:tc>
          <w:tcPr>
            <w:tcW w:w="8635" w:type="dxa"/>
            <w:shd w:val="clear" w:color="auto" w:fill="auto"/>
            <w:noWrap/>
            <w:hideMark/>
          </w:tcPr>
          <w:p w14:paraId="17410B68"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bookmarkStart w:id="0" w:name="RANGE!A4"/>
            <w:bookmarkStart w:id="1" w:name="RANGE!A419"/>
            <w:bookmarkEnd w:id="0"/>
          </w:p>
          <w:p w14:paraId="3482E116" w14:textId="77777777" w:rsidR="00E5369F"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Hooper, Charles Arthur. </w:t>
            </w:r>
            <w:r w:rsidRPr="00414E6B">
              <w:rPr>
                <w:rFonts w:ascii="Times New Roman" w:eastAsia="Times New Roman" w:hAnsi="Times New Roman" w:cs="Times New Roman"/>
                <w:i/>
                <w:iCs/>
                <w:color w:val="000000"/>
                <w:sz w:val="20"/>
                <w:szCs w:val="20"/>
              </w:rPr>
              <w:t>The Civil Law of Palestine and Trans-Jordan</w:t>
            </w:r>
            <w:r w:rsidRPr="00414E6B">
              <w:rPr>
                <w:rFonts w:ascii="Times New Roman" w:eastAsia="Times New Roman" w:hAnsi="Times New Roman" w:cs="Times New Roman"/>
                <w:color w:val="000000"/>
                <w:sz w:val="20"/>
                <w:szCs w:val="20"/>
              </w:rPr>
              <w:t xml:space="preserve">. Jerusalem: </w:t>
            </w:r>
            <w:proofErr w:type="spellStart"/>
            <w:r w:rsidRPr="00414E6B">
              <w:rPr>
                <w:rFonts w:ascii="Times New Roman" w:eastAsia="Times New Roman" w:hAnsi="Times New Roman" w:cs="Times New Roman"/>
                <w:color w:val="000000"/>
                <w:sz w:val="20"/>
                <w:szCs w:val="20"/>
              </w:rPr>
              <w:t>Azriel</w:t>
            </w:r>
            <w:proofErr w:type="spellEnd"/>
            <w:r w:rsidRPr="00414E6B">
              <w:rPr>
                <w:rFonts w:ascii="Times New Roman" w:eastAsia="Times New Roman" w:hAnsi="Times New Roman" w:cs="Times New Roman"/>
                <w:color w:val="000000"/>
                <w:sz w:val="20"/>
                <w:szCs w:val="20"/>
              </w:rPr>
              <w:t xml:space="preserve"> Print Works (1933-1936).</w:t>
            </w:r>
          </w:p>
          <w:p w14:paraId="3954AC57" w14:textId="024EF994" w:rsidR="00E5369F" w:rsidRDefault="00E5369F" w:rsidP="00414E6B">
            <w:pPr>
              <w:spacing w:after="0" w:line="240" w:lineRule="auto"/>
              <w:ind w:left="227" w:hanging="227"/>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!R34C2" \a \f 5 \h  \* MERGEFORMAT </w:instrText>
            </w:r>
            <w:r>
              <w:rPr>
                <w:rFonts w:ascii="Times New Roman" w:eastAsia="Times New Roman" w:hAnsi="Times New Roman" w:cs="Times New Roman"/>
                <w:color w:val="000000"/>
                <w:sz w:val="20"/>
                <w:szCs w:val="20"/>
              </w:rPr>
              <w:fldChar w:fldCharType="separate"/>
            </w:r>
          </w:p>
          <w:p w14:paraId="59827CD0" w14:textId="0FD97BDF" w:rsidR="00E5369F" w:rsidRDefault="00E5369F">
            <w:pPr>
              <w:spacing w:after="0" w:line="240" w:lineRule="auto"/>
              <w:ind w:left="227" w:hanging="227"/>
              <w:jc w:val="both"/>
              <w:rPr>
                <w:rFonts w:ascii="Times New Roman" w:eastAsia="Times New Roman" w:hAnsi="Times New Roman" w:cs="Times New Roman"/>
                <w:color w:val="000000"/>
                <w:sz w:val="20"/>
                <w:szCs w:val="20"/>
              </w:rPr>
            </w:pPr>
            <w:proofErr w:type="spellStart"/>
            <w:r w:rsidRPr="00502B8E">
              <w:rPr>
                <w:rFonts w:ascii="Times New Roman" w:eastAsia="Times New Roman" w:hAnsi="Times New Roman" w:cs="Times New Roman"/>
                <w:color w:val="000000"/>
                <w:sz w:val="20"/>
                <w:szCs w:val="20"/>
              </w:rPr>
              <w:t>Igra</w:t>
            </w:r>
            <w:proofErr w:type="spellEnd"/>
            <w:r w:rsidRPr="00502B8E">
              <w:rPr>
                <w:rFonts w:ascii="Times New Roman" w:eastAsia="Times New Roman" w:hAnsi="Times New Roman" w:cs="Times New Roman"/>
                <w:color w:val="000000"/>
                <w:sz w:val="20"/>
                <w:szCs w:val="20"/>
              </w:rPr>
              <w:t xml:space="preserve">, Alma. "Mandate of Compassion: Prevention of Cruelty to Animals in Palestine, 1919–1939." </w:t>
            </w:r>
            <w:r w:rsidRPr="00502B8E">
              <w:rPr>
                <w:rFonts w:ascii="Times New Roman" w:eastAsia="Times New Roman" w:hAnsi="Times New Roman" w:cs="Times New Roman"/>
                <w:i/>
                <w:iCs/>
                <w:color w:val="000000"/>
                <w:sz w:val="20"/>
                <w:szCs w:val="20"/>
              </w:rPr>
              <w:t xml:space="preserve">The Journal of Imperial and Commonwealth History </w:t>
            </w:r>
            <w:r w:rsidRPr="00502B8E">
              <w:rPr>
                <w:rFonts w:ascii="Times New Roman" w:eastAsia="Times New Roman" w:hAnsi="Times New Roman" w:cs="Times New Roman"/>
                <w:color w:val="000000"/>
                <w:sz w:val="20"/>
                <w:szCs w:val="20"/>
              </w:rPr>
              <w:t>47(4) (2019): 773-799.</w:t>
            </w:r>
          </w:p>
          <w:p w14:paraId="2571D642" w14:textId="77777777" w:rsidR="0016323D" w:rsidRPr="00502B8E" w:rsidRDefault="0016323D" w:rsidP="00502B8E">
            <w:pPr>
              <w:spacing w:after="0" w:line="240" w:lineRule="auto"/>
              <w:ind w:left="227" w:hanging="227"/>
              <w:jc w:val="both"/>
              <w:rPr>
                <w:rFonts w:ascii="Times New Roman" w:eastAsia="Times New Roman" w:hAnsi="Times New Roman" w:cs="Times New Roman"/>
                <w:color w:val="000000"/>
                <w:sz w:val="20"/>
                <w:szCs w:val="20"/>
              </w:rPr>
            </w:pPr>
          </w:p>
          <w:p w14:paraId="355F5B97" w14:textId="502729D5" w:rsidR="00414E6B" w:rsidRPr="00414E6B" w:rsidRDefault="00E5369F" w:rsidP="00E866FB">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bookmarkEnd w:id="1"/>
          </w:p>
        </w:tc>
      </w:tr>
      <w:tr w:rsidR="00414E6B" w:rsidRPr="00414E6B" w14:paraId="1089E7EF" w14:textId="77777777" w:rsidTr="00414E6B">
        <w:trPr>
          <w:trHeight w:val="280"/>
        </w:trPr>
        <w:tc>
          <w:tcPr>
            <w:tcW w:w="8635" w:type="dxa"/>
            <w:shd w:val="clear" w:color="auto" w:fill="auto"/>
            <w:noWrap/>
            <w:hideMark/>
          </w:tcPr>
          <w:p w14:paraId="4ACC0934"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Kark</w:t>
            </w:r>
            <w:proofErr w:type="spellEnd"/>
            <w:r w:rsidRPr="00414E6B">
              <w:rPr>
                <w:rFonts w:ascii="Times New Roman" w:eastAsia="Times New Roman" w:hAnsi="Times New Roman" w:cs="Times New Roman"/>
                <w:color w:val="000000"/>
                <w:sz w:val="20"/>
                <w:szCs w:val="20"/>
              </w:rPr>
              <w:t xml:space="preserve">, Ruth. </w:t>
            </w:r>
            <w:r w:rsidRPr="00414E6B">
              <w:rPr>
                <w:rFonts w:ascii="Times New Roman" w:eastAsia="Times New Roman" w:hAnsi="Times New Roman" w:cs="Times New Roman"/>
                <w:i/>
                <w:iCs/>
                <w:color w:val="000000"/>
                <w:sz w:val="20"/>
                <w:szCs w:val="20"/>
              </w:rPr>
              <w:t>Pioneering Jewish Settlement in the Negev 1880-1948</w:t>
            </w:r>
            <w:r w:rsidRPr="00414E6B">
              <w:rPr>
                <w:rFonts w:ascii="Times New Roman" w:eastAsia="Times New Roman" w:hAnsi="Times New Roman" w:cs="Times New Roman"/>
                <w:color w:val="000000"/>
                <w:sz w:val="20"/>
                <w:szCs w:val="20"/>
              </w:rPr>
              <w:t>. Jerusalem: Ariel (2002) (Hebrew).</w:t>
            </w:r>
          </w:p>
        </w:tc>
      </w:tr>
      <w:tr w:rsidR="00414E6B" w:rsidRPr="00414E6B" w14:paraId="56973252" w14:textId="77777777" w:rsidTr="00414E6B">
        <w:trPr>
          <w:trHeight w:val="280"/>
        </w:trPr>
        <w:tc>
          <w:tcPr>
            <w:tcW w:w="8635" w:type="dxa"/>
            <w:shd w:val="clear" w:color="auto" w:fill="auto"/>
            <w:noWrap/>
            <w:hideMark/>
          </w:tcPr>
          <w:p w14:paraId="15937FB6"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color w:val="000000"/>
                <w:sz w:val="20"/>
                <w:szCs w:val="20"/>
              </w:rPr>
              <w:t xml:space="preserve">"Land Purchase and Mapping in a Mid-nineteenth-Century Palestinian Village." </w:t>
            </w:r>
            <w:r w:rsidRPr="00414E6B">
              <w:rPr>
                <w:rFonts w:ascii="Times New Roman" w:eastAsia="Times New Roman" w:hAnsi="Times New Roman" w:cs="Times New Roman"/>
                <w:i/>
                <w:iCs/>
                <w:color w:val="000000"/>
                <w:sz w:val="20"/>
                <w:szCs w:val="20"/>
              </w:rPr>
              <w:t>The Palestine Exploration Quarterly</w:t>
            </w:r>
            <w:r w:rsidRPr="00414E6B">
              <w:rPr>
                <w:rFonts w:ascii="Times New Roman" w:eastAsia="Times New Roman" w:hAnsi="Times New Roman" w:cs="Times New Roman"/>
                <w:color w:val="000000"/>
                <w:sz w:val="20"/>
                <w:szCs w:val="20"/>
              </w:rPr>
              <w:t xml:space="preserve"> 129(2) (1997): 150-161.</w:t>
            </w:r>
          </w:p>
        </w:tc>
      </w:tr>
      <w:tr w:rsidR="00414E6B" w:rsidRPr="00414E6B" w14:paraId="1BC22C83" w14:textId="77777777" w:rsidTr="00414E6B">
        <w:trPr>
          <w:trHeight w:val="280"/>
        </w:trPr>
        <w:tc>
          <w:tcPr>
            <w:tcW w:w="8635" w:type="dxa"/>
            <w:shd w:val="clear" w:color="auto" w:fill="auto"/>
            <w:noWrap/>
            <w:hideMark/>
          </w:tcPr>
          <w:p w14:paraId="01725F64"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414E6B">
              <w:rPr>
                <w:rFonts w:ascii="Times New Roman" w:eastAsia="Times New Roman" w:hAnsi="Times New Roman" w:cs="Times New Roman"/>
                <w:color w:val="000000"/>
                <w:sz w:val="20"/>
                <w:szCs w:val="20"/>
              </w:rPr>
              <w:t xml:space="preserve">"Land-God-Man: Concepts of Land Ownership in Traditional Cultures and in Eretz-Israel." In </w:t>
            </w:r>
            <w:r w:rsidRPr="00414E6B">
              <w:rPr>
                <w:rFonts w:ascii="Times New Roman" w:eastAsia="Times New Roman" w:hAnsi="Times New Roman" w:cs="Times New Roman"/>
                <w:color w:val="000000"/>
                <w:sz w:val="20"/>
                <w:szCs w:val="20"/>
              </w:rPr>
              <w:lastRenderedPageBreak/>
              <w:t xml:space="preserve">Alan R.H. Baker and Gideon </w:t>
            </w:r>
            <w:proofErr w:type="spellStart"/>
            <w:r w:rsidRPr="00414E6B">
              <w:rPr>
                <w:rFonts w:ascii="Times New Roman" w:eastAsia="Times New Roman" w:hAnsi="Times New Roman" w:cs="Times New Roman"/>
                <w:color w:val="000000"/>
                <w:sz w:val="20"/>
                <w:szCs w:val="20"/>
              </w:rPr>
              <w:t>Biger</w:t>
            </w:r>
            <w:proofErr w:type="spellEnd"/>
            <w:r w:rsidRPr="00414E6B">
              <w:rPr>
                <w:rFonts w:ascii="Times New Roman" w:eastAsia="Times New Roman" w:hAnsi="Times New Roman" w:cs="Times New Roman"/>
                <w:color w:val="000000"/>
                <w:sz w:val="20"/>
                <w:szCs w:val="20"/>
              </w:rPr>
              <w:t xml:space="preserve"> eds. </w:t>
            </w:r>
            <w:r w:rsidRPr="00414E6B">
              <w:rPr>
                <w:rFonts w:ascii="Times New Roman" w:eastAsia="Times New Roman" w:hAnsi="Times New Roman" w:cs="Times New Roman"/>
                <w:i/>
                <w:iCs/>
                <w:color w:val="000000"/>
                <w:sz w:val="20"/>
                <w:szCs w:val="20"/>
              </w:rPr>
              <w:t>Ideology and Landscape in Historical Perspective</w:t>
            </w:r>
            <w:r w:rsidRPr="00414E6B">
              <w:rPr>
                <w:rFonts w:ascii="Times New Roman" w:eastAsia="Times New Roman" w:hAnsi="Times New Roman" w:cs="Times New Roman"/>
                <w:color w:val="000000"/>
                <w:sz w:val="20"/>
                <w:szCs w:val="20"/>
              </w:rPr>
              <w:t>. Cambridge: Cambridge University Press (1992): 63-82.</w:t>
            </w:r>
          </w:p>
        </w:tc>
      </w:tr>
      <w:tr w:rsidR="00414E6B" w:rsidRPr="00414E6B" w14:paraId="6F829510" w14:textId="77777777" w:rsidTr="00414E6B">
        <w:trPr>
          <w:trHeight w:val="280"/>
        </w:trPr>
        <w:tc>
          <w:tcPr>
            <w:tcW w:w="8635" w:type="dxa"/>
            <w:shd w:val="clear" w:color="auto" w:fill="auto"/>
            <w:noWrap/>
            <w:hideMark/>
          </w:tcPr>
          <w:p w14:paraId="0D2214BF"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color w:val="000000"/>
                <w:sz w:val="20"/>
                <w:szCs w:val="20"/>
              </w:rPr>
              <w:t xml:space="preserve">"Land Ownership and Spatial Change in Nineteenth Century Palestine: An Overview." In M. </w:t>
            </w:r>
            <w:proofErr w:type="spellStart"/>
            <w:r w:rsidRPr="00414E6B">
              <w:rPr>
                <w:rFonts w:ascii="Times New Roman" w:eastAsia="Times New Roman" w:hAnsi="Times New Roman" w:cs="Times New Roman"/>
                <w:color w:val="000000"/>
                <w:sz w:val="20"/>
                <w:szCs w:val="20"/>
              </w:rPr>
              <w:t>Roscizewsky</w:t>
            </w:r>
            <w:proofErr w:type="spellEnd"/>
            <w:r w:rsidRPr="00414E6B">
              <w:rPr>
                <w:rFonts w:ascii="Times New Roman" w:eastAsia="Times New Roman" w:hAnsi="Times New Roman" w:cs="Times New Roman"/>
                <w:color w:val="000000"/>
                <w:sz w:val="20"/>
                <w:szCs w:val="20"/>
              </w:rPr>
              <w:t xml:space="preserve"> ed. </w:t>
            </w:r>
            <w:r w:rsidRPr="00414E6B">
              <w:rPr>
                <w:rFonts w:ascii="Times New Roman" w:eastAsia="Times New Roman" w:hAnsi="Times New Roman" w:cs="Times New Roman"/>
                <w:i/>
                <w:iCs/>
                <w:color w:val="000000"/>
                <w:sz w:val="20"/>
                <w:szCs w:val="20"/>
              </w:rPr>
              <w:t>Transition from Spontaneous to Regulated Spatial Organization</w:t>
            </w:r>
            <w:r w:rsidRPr="00414E6B">
              <w:rPr>
                <w:rFonts w:ascii="Times New Roman" w:eastAsia="Times New Roman" w:hAnsi="Times New Roman" w:cs="Times New Roman"/>
                <w:color w:val="000000"/>
                <w:sz w:val="20"/>
                <w:szCs w:val="20"/>
              </w:rPr>
              <w:t>. Warsaw: Polish Academy of Sciences (1984): 183-196.</w:t>
            </w:r>
          </w:p>
        </w:tc>
      </w:tr>
      <w:tr w:rsidR="00414E6B" w:rsidRPr="00414E6B" w14:paraId="56073C2B" w14:textId="77777777" w:rsidTr="00414E6B">
        <w:trPr>
          <w:trHeight w:val="280"/>
        </w:trPr>
        <w:tc>
          <w:tcPr>
            <w:tcW w:w="8635" w:type="dxa"/>
            <w:shd w:val="clear" w:color="auto" w:fill="auto"/>
            <w:noWrap/>
            <w:hideMark/>
          </w:tcPr>
          <w:p w14:paraId="7F9D710F"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color w:val="000000"/>
                <w:sz w:val="20"/>
                <w:szCs w:val="20"/>
              </w:rPr>
              <w:t xml:space="preserve">"Land Acquisition and New Agricultural Settlements in Palestine During the </w:t>
            </w:r>
            <w:proofErr w:type="spellStart"/>
            <w:r w:rsidRPr="00414E6B">
              <w:rPr>
                <w:rFonts w:ascii="Times New Roman" w:eastAsia="Times New Roman" w:hAnsi="Times New Roman" w:cs="Times New Roman"/>
                <w:color w:val="000000"/>
                <w:sz w:val="20"/>
                <w:szCs w:val="20"/>
              </w:rPr>
              <w:t>Tyomkin</w:t>
            </w:r>
            <w:proofErr w:type="spellEnd"/>
            <w:r w:rsidRPr="00414E6B">
              <w:rPr>
                <w:rFonts w:ascii="Times New Roman" w:eastAsia="Times New Roman" w:hAnsi="Times New Roman" w:cs="Times New Roman"/>
                <w:color w:val="000000"/>
                <w:sz w:val="20"/>
                <w:szCs w:val="20"/>
              </w:rPr>
              <w:t xml:space="preserve"> Period, 1890-1892."</w:t>
            </w:r>
            <w:r w:rsidRPr="00414E6B">
              <w:rPr>
                <w:rFonts w:ascii="Times New Roman" w:eastAsia="Times New Roman" w:hAnsi="Times New Roman" w:cs="Times New Roman"/>
                <w:i/>
                <w:iCs/>
                <w:color w:val="000000"/>
                <w:sz w:val="20"/>
                <w:szCs w:val="20"/>
              </w:rPr>
              <w:t xml:space="preserve"> Zionism: Studies in the History of the Zionist Movement and the Jewish Community in Palestine</w:t>
            </w:r>
            <w:r w:rsidRPr="00414E6B">
              <w:rPr>
                <w:rFonts w:ascii="Times New Roman" w:eastAsia="Times New Roman" w:hAnsi="Times New Roman" w:cs="Times New Roman"/>
                <w:color w:val="000000"/>
                <w:sz w:val="20"/>
                <w:szCs w:val="20"/>
              </w:rPr>
              <w:t xml:space="preserve"> 9 (1984): 179-193 (Hebrew).</w:t>
            </w:r>
          </w:p>
        </w:tc>
      </w:tr>
      <w:tr w:rsidR="00414E6B" w:rsidRPr="00414E6B" w14:paraId="743FE6EB" w14:textId="77777777" w:rsidTr="00414E6B">
        <w:trPr>
          <w:trHeight w:val="280"/>
        </w:trPr>
        <w:tc>
          <w:tcPr>
            <w:tcW w:w="8635" w:type="dxa"/>
            <w:shd w:val="clear" w:color="auto" w:fill="auto"/>
            <w:noWrap/>
            <w:hideMark/>
          </w:tcPr>
          <w:p w14:paraId="6E9C10DD"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color w:val="000000"/>
                <w:sz w:val="20"/>
                <w:szCs w:val="20"/>
              </w:rPr>
              <w:t xml:space="preserve">"The Negev During the Mandate Period: Development of Infrastructure and Settlement." In </w:t>
            </w:r>
            <w:proofErr w:type="spellStart"/>
            <w:r w:rsidRPr="00414E6B">
              <w:rPr>
                <w:rFonts w:ascii="Times New Roman" w:eastAsia="Times New Roman" w:hAnsi="Times New Roman" w:cs="Times New Roman"/>
                <w:color w:val="000000"/>
                <w:sz w:val="20"/>
                <w:szCs w:val="20"/>
              </w:rPr>
              <w:t>Avshalom</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Shmueli</w:t>
            </w:r>
            <w:proofErr w:type="spellEnd"/>
            <w:r w:rsidRPr="00414E6B">
              <w:rPr>
                <w:rFonts w:ascii="Times New Roman" w:eastAsia="Times New Roman" w:hAnsi="Times New Roman" w:cs="Times New Roman"/>
                <w:color w:val="000000"/>
                <w:sz w:val="20"/>
                <w:szCs w:val="20"/>
              </w:rPr>
              <w:t xml:space="preserve"> and Yehuda Gradus eds. </w:t>
            </w:r>
            <w:r w:rsidRPr="00414E6B">
              <w:rPr>
                <w:rFonts w:ascii="Times New Roman" w:eastAsia="Times New Roman" w:hAnsi="Times New Roman" w:cs="Times New Roman"/>
                <w:i/>
                <w:iCs/>
                <w:color w:val="000000"/>
                <w:sz w:val="20"/>
                <w:szCs w:val="20"/>
              </w:rPr>
              <w:t xml:space="preserve">The Land of the Negev: </w:t>
            </w:r>
            <w:proofErr w:type="gramStart"/>
            <w:r w:rsidRPr="00414E6B">
              <w:rPr>
                <w:rFonts w:ascii="Times New Roman" w:eastAsia="Times New Roman" w:hAnsi="Times New Roman" w:cs="Times New Roman"/>
                <w:i/>
                <w:iCs/>
                <w:color w:val="000000"/>
                <w:sz w:val="20"/>
                <w:szCs w:val="20"/>
              </w:rPr>
              <w:t>Man</w:t>
            </w:r>
            <w:proofErr w:type="gramEnd"/>
            <w:r w:rsidRPr="00414E6B">
              <w:rPr>
                <w:rFonts w:ascii="Times New Roman" w:eastAsia="Times New Roman" w:hAnsi="Times New Roman" w:cs="Times New Roman"/>
                <w:i/>
                <w:iCs/>
                <w:color w:val="000000"/>
                <w:sz w:val="20"/>
                <w:szCs w:val="20"/>
              </w:rPr>
              <w:t xml:space="preserve"> and Desert</w:t>
            </w:r>
            <w:r w:rsidRPr="00414E6B">
              <w:rPr>
                <w:rFonts w:ascii="Times New Roman" w:eastAsia="Times New Roman" w:hAnsi="Times New Roman" w:cs="Times New Roman"/>
                <w:color w:val="000000"/>
                <w:sz w:val="20"/>
                <w:szCs w:val="20"/>
              </w:rPr>
              <w:t xml:space="preserve">. Tel Aviv: Ministry of </w:t>
            </w:r>
            <w:proofErr w:type="spellStart"/>
            <w:r w:rsidRPr="00414E6B">
              <w:rPr>
                <w:rFonts w:ascii="Times New Roman" w:eastAsia="Times New Roman" w:hAnsi="Times New Roman" w:cs="Times New Roman"/>
                <w:color w:val="000000"/>
                <w:sz w:val="20"/>
                <w:szCs w:val="20"/>
              </w:rPr>
              <w:t>Defence</w:t>
            </w:r>
            <w:proofErr w:type="spellEnd"/>
            <w:r w:rsidRPr="00414E6B">
              <w:rPr>
                <w:rFonts w:ascii="Times New Roman" w:eastAsia="Times New Roman" w:hAnsi="Times New Roman" w:cs="Times New Roman"/>
                <w:color w:val="000000"/>
                <w:sz w:val="20"/>
                <w:szCs w:val="20"/>
              </w:rPr>
              <w:t xml:space="preserve"> (1979): 323-331 (Hebrew).</w:t>
            </w:r>
          </w:p>
        </w:tc>
      </w:tr>
      <w:tr w:rsidR="00414E6B" w:rsidRPr="00414E6B" w14:paraId="0A399B38" w14:textId="77777777" w:rsidTr="00414E6B">
        <w:trPr>
          <w:trHeight w:val="280"/>
        </w:trPr>
        <w:tc>
          <w:tcPr>
            <w:tcW w:w="8635" w:type="dxa"/>
            <w:shd w:val="clear" w:color="auto" w:fill="auto"/>
            <w:noWrap/>
            <w:hideMark/>
          </w:tcPr>
          <w:p w14:paraId="528AB04B"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2D9A0EE1"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Kark</w:t>
            </w:r>
            <w:proofErr w:type="spellEnd"/>
            <w:r w:rsidRPr="00414E6B">
              <w:rPr>
                <w:rFonts w:ascii="Times New Roman" w:eastAsia="Times New Roman" w:hAnsi="Times New Roman" w:cs="Times New Roman"/>
                <w:color w:val="000000"/>
                <w:sz w:val="20"/>
                <w:szCs w:val="20"/>
              </w:rPr>
              <w:t>, Ruth and Michal Oren-</w:t>
            </w:r>
            <w:proofErr w:type="spellStart"/>
            <w:r w:rsidRPr="00414E6B">
              <w:rPr>
                <w:rFonts w:ascii="Times New Roman" w:eastAsia="Times New Roman" w:hAnsi="Times New Roman" w:cs="Times New Roman"/>
                <w:color w:val="000000"/>
                <w:sz w:val="20"/>
                <w:szCs w:val="20"/>
              </w:rPr>
              <w:t>Nordheim</w:t>
            </w:r>
            <w:proofErr w:type="spellEnd"/>
            <w:r w:rsidRPr="00414E6B">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i/>
                <w:iCs/>
                <w:color w:val="000000"/>
                <w:sz w:val="20"/>
                <w:szCs w:val="20"/>
              </w:rPr>
              <w:t>Jerusalem and Its Environs: Quarters, Neighborhoods, Villages, 1800-1948</w:t>
            </w:r>
            <w:r w:rsidRPr="00414E6B">
              <w:rPr>
                <w:rFonts w:ascii="Times New Roman" w:eastAsia="Times New Roman" w:hAnsi="Times New Roman" w:cs="Times New Roman"/>
                <w:color w:val="000000"/>
                <w:sz w:val="20"/>
                <w:szCs w:val="20"/>
              </w:rPr>
              <w:t xml:space="preserve">. Jerusalem: The Hebrew University </w:t>
            </w:r>
            <w:proofErr w:type="spellStart"/>
            <w:r w:rsidRPr="00414E6B">
              <w:rPr>
                <w:rFonts w:ascii="Times New Roman" w:eastAsia="Times New Roman" w:hAnsi="Times New Roman" w:cs="Times New Roman"/>
                <w:color w:val="000000"/>
                <w:sz w:val="20"/>
                <w:szCs w:val="20"/>
              </w:rPr>
              <w:t>Magnes</w:t>
            </w:r>
            <w:proofErr w:type="spellEnd"/>
            <w:r w:rsidRPr="00414E6B">
              <w:rPr>
                <w:rFonts w:ascii="Times New Roman" w:eastAsia="Times New Roman" w:hAnsi="Times New Roman" w:cs="Times New Roman"/>
                <w:color w:val="000000"/>
                <w:sz w:val="20"/>
                <w:szCs w:val="20"/>
              </w:rPr>
              <w:t xml:space="preserve"> Press (2001). </w:t>
            </w:r>
          </w:p>
        </w:tc>
      </w:tr>
      <w:tr w:rsidR="00414E6B" w:rsidRPr="00414E6B" w14:paraId="0305700A" w14:textId="77777777" w:rsidTr="00414E6B">
        <w:trPr>
          <w:trHeight w:val="280"/>
        </w:trPr>
        <w:tc>
          <w:tcPr>
            <w:tcW w:w="8635" w:type="dxa"/>
            <w:shd w:val="clear" w:color="auto" w:fill="auto"/>
            <w:noWrap/>
            <w:hideMark/>
          </w:tcPr>
          <w:p w14:paraId="5F045FC6"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45DB241E"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Kark</w:t>
            </w:r>
            <w:proofErr w:type="spellEnd"/>
            <w:r w:rsidRPr="00414E6B">
              <w:rPr>
                <w:rFonts w:ascii="Times New Roman" w:eastAsia="Times New Roman" w:hAnsi="Times New Roman" w:cs="Times New Roman"/>
                <w:color w:val="000000"/>
                <w:sz w:val="20"/>
                <w:szCs w:val="20"/>
              </w:rPr>
              <w:t xml:space="preserve">, Ruth and Noam Levin. "The Environment in Palestine in the Late Ottoman Period, 1798-1918." In Daniel Orenstein, Alon Tal, and Char Miller eds. </w:t>
            </w:r>
            <w:r w:rsidRPr="00414E6B">
              <w:rPr>
                <w:rFonts w:ascii="Times New Roman" w:eastAsia="Times New Roman" w:hAnsi="Times New Roman" w:cs="Times New Roman"/>
                <w:i/>
                <w:iCs/>
                <w:color w:val="000000"/>
                <w:sz w:val="20"/>
                <w:szCs w:val="20"/>
              </w:rPr>
              <w:t>Between Ruin and Restoration: An Environmental History of Israel</w:t>
            </w:r>
            <w:r w:rsidRPr="00414E6B">
              <w:rPr>
                <w:rFonts w:ascii="Times New Roman" w:eastAsia="Times New Roman" w:hAnsi="Times New Roman" w:cs="Times New Roman"/>
                <w:color w:val="000000"/>
                <w:sz w:val="20"/>
                <w:szCs w:val="20"/>
              </w:rPr>
              <w:t>. Pittsburgh: University of Pittsburgh Press (2013): 1-28.</w:t>
            </w:r>
          </w:p>
        </w:tc>
      </w:tr>
      <w:tr w:rsidR="00414E6B" w:rsidRPr="00414E6B" w14:paraId="2F20E337" w14:textId="77777777" w:rsidTr="00414E6B">
        <w:trPr>
          <w:trHeight w:val="280"/>
        </w:trPr>
        <w:tc>
          <w:tcPr>
            <w:tcW w:w="8635" w:type="dxa"/>
            <w:shd w:val="clear" w:color="auto" w:fill="auto"/>
            <w:noWrap/>
            <w:hideMark/>
          </w:tcPr>
          <w:p w14:paraId="02A7DAA5"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7C7BA97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Kark</w:t>
            </w:r>
            <w:proofErr w:type="spellEnd"/>
            <w:r w:rsidRPr="00414E6B">
              <w:rPr>
                <w:rFonts w:ascii="Times New Roman" w:eastAsia="Times New Roman" w:hAnsi="Times New Roman" w:cs="Times New Roman"/>
                <w:color w:val="000000"/>
                <w:sz w:val="20"/>
                <w:szCs w:val="20"/>
              </w:rPr>
              <w:t xml:space="preserve">, Ruth and Seth J. </w:t>
            </w:r>
            <w:proofErr w:type="spellStart"/>
            <w:r w:rsidRPr="00414E6B">
              <w:rPr>
                <w:rFonts w:ascii="Times New Roman" w:eastAsia="Times New Roman" w:hAnsi="Times New Roman" w:cs="Times New Roman"/>
                <w:color w:val="000000"/>
                <w:sz w:val="20"/>
                <w:szCs w:val="20"/>
              </w:rPr>
              <w:t>Frantzman</w:t>
            </w:r>
            <w:proofErr w:type="spellEnd"/>
            <w:r w:rsidRPr="00414E6B">
              <w:rPr>
                <w:rFonts w:ascii="Times New Roman" w:eastAsia="Times New Roman" w:hAnsi="Times New Roman" w:cs="Times New Roman"/>
                <w:color w:val="000000"/>
                <w:sz w:val="20"/>
                <w:szCs w:val="20"/>
              </w:rPr>
              <w:t xml:space="preserve">. "The Negev: Land, Settlement, the Bedouin and Ottoman and British Policy 1871-1948." </w:t>
            </w:r>
            <w:r w:rsidRPr="00414E6B">
              <w:rPr>
                <w:rFonts w:ascii="Times New Roman" w:eastAsia="Times New Roman" w:hAnsi="Times New Roman" w:cs="Times New Roman"/>
                <w:i/>
                <w:iCs/>
                <w:color w:val="000000"/>
                <w:sz w:val="20"/>
                <w:szCs w:val="20"/>
              </w:rPr>
              <w:t>British Journal of Middle Eastern Studies</w:t>
            </w:r>
            <w:r w:rsidRPr="00414E6B">
              <w:rPr>
                <w:rFonts w:ascii="Times New Roman" w:eastAsia="Times New Roman" w:hAnsi="Times New Roman" w:cs="Times New Roman"/>
                <w:color w:val="000000"/>
                <w:sz w:val="20"/>
                <w:szCs w:val="20"/>
              </w:rPr>
              <w:t xml:space="preserve"> 39(1) (2012): 53-77. </w:t>
            </w:r>
          </w:p>
        </w:tc>
      </w:tr>
      <w:tr w:rsidR="00414E6B" w:rsidRPr="00414E6B" w14:paraId="33D4D792" w14:textId="77777777" w:rsidTr="00414E6B">
        <w:trPr>
          <w:trHeight w:val="280"/>
        </w:trPr>
        <w:tc>
          <w:tcPr>
            <w:tcW w:w="8635" w:type="dxa"/>
            <w:shd w:val="clear" w:color="auto" w:fill="auto"/>
            <w:noWrap/>
            <w:hideMark/>
          </w:tcPr>
          <w:p w14:paraId="1BB96E9A"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414E6B">
              <w:rPr>
                <w:rFonts w:ascii="Times New Roman" w:eastAsia="Times New Roman" w:hAnsi="Times New Roman" w:cs="Times New Roman"/>
                <w:color w:val="000000"/>
                <w:sz w:val="20"/>
                <w:szCs w:val="20"/>
              </w:rPr>
              <w:t xml:space="preserve">"Bedouin Settlement in Late Ottoman and British Mandatory Palestine: Influence on the Cultural and Environmental Landscape, 1870-1948." </w:t>
            </w:r>
            <w:r w:rsidRPr="00414E6B">
              <w:rPr>
                <w:rFonts w:ascii="Times New Roman" w:eastAsia="Times New Roman" w:hAnsi="Times New Roman" w:cs="Times New Roman"/>
                <w:i/>
                <w:iCs/>
                <w:color w:val="000000"/>
                <w:sz w:val="20"/>
                <w:szCs w:val="20"/>
              </w:rPr>
              <w:t>New Middle Eastern Studies</w:t>
            </w:r>
            <w:r w:rsidRPr="00414E6B">
              <w:rPr>
                <w:rFonts w:ascii="Times New Roman" w:eastAsia="Times New Roman" w:hAnsi="Times New Roman" w:cs="Times New Roman"/>
                <w:color w:val="000000"/>
                <w:sz w:val="20"/>
                <w:szCs w:val="20"/>
              </w:rPr>
              <w:t xml:space="preserve"> 1 (2011): 1-24.</w:t>
            </w:r>
          </w:p>
        </w:tc>
      </w:tr>
      <w:tr w:rsidR="00414E6B" w:rsidRPr="00414E6B" w14:paraId="3C5EA57A" w14:textId="77777777" w:rsidTr="00414E6B">
        <w:trPr>
          <w:trHeight w:val="280"/>
        </w:trPr>
        <w:tc>
          <w:tcPr>
            <w:tcW w:w="8635" w:type="dxa"/>
            <w:shd w:val="clear" w:color="auto" w:fill="auto"/>
            <w:noWrap/>
            <w:hideMark/>
          </w:tcPr>
          <w:p w14:paraId="075EDCC6"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5D485E83"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Karlinsky</w:t>
            </w:r>
            <w:proofErr w:type="spellEnd"/>
            <w:r w:rsidRPr="00414E6B">
              <w:rPr>
                <w:rFonts w:ascii="Times New Roman" w:eastAsia="Times New Roman" w:hAnsi="Times New Roman" w:cs="Times New Roman"/>
                <w:color w:val="000000"/>
                <w:sz w:val="20"/>
                <w:szCs w:val="20"/>
              </w:rPr>
              <w:t xml:space="preserve">, Nahum. </w:t>
            </w:r>
            <w:r w:rsidRPr="00414E6B">
              <w:rPr>
                <w:rFonts w:ascii="Times New Roman" w:eastAsia="Times New Roman" w:hAnsi="Times New Roman" w:cs="Times New Roman"/>
                <w:i/>
                <w:iCs/>
                <w:color w:val="000000"/>
                <w:sz w:val="20"/>
                <w:szCs w:val="20"/>
              </w:rPr>
              <w:t>California</w:t>
            </w:r>
            <w:r w:rsidRPr="00414E6B">
              <w:rPr>
                <w:rFonts w:ascii="Times New Roman" w:eastAsia="Times New Roman" w:hAnsi="Times New Roman" w:cs="Times New Roman"/>
                <w:color w:val="000000"/>
                <w:sz w:val="20"/>
                <w:szCs w:val="20"/>
              </w:rPr>
              <w:t> </w:t>
            </w:r>
            <w:r w:rsidRPr="00414E6B">
              <w:rPr>
                <w:rFonts w:ascii="Times New Roman" w:eastAsia="Times New Roman" w:hAnsi="Times New Roman" w:cs="Times New Roman"/>
                <w:i/>
                <w:iCs/>
                <w:color w:val="000000"/>
                <w:sz w:val="20"/>
                <w:szCs w:val="20"/>
              </w:rPr>
              <w:t>Dreaming: Ideology, Society and Technology in the Citrus Industry of</w:t>
            </w:r>
            <w:r w:rsidRPr="00414E6B">
              <w:rPr>
                <w:rFonts w:ascii="Times New Roman" w:eastAsia="Times New Roman" w:hAnsi="Times New Roman" w:cs="Times New Roman"/>
                <w:color w:val="000000"/>
                <w:sz w:val="20"/>
                <w:szCs w:val="20"/>
              </w:rPr>
              <w:t> </w:t>
            </w:r>
            <w:r w:rsidRPr="00414E6B">
              <w:rPr>
                <w:rFonts w:ascii="Times New Roman" w:eastAsia="Times New Roman" w:hAnsi="Times New Roman" w:cs="Times New Roman"/>
                <w:i/>
                <w:iCs/>
                <w:color w:val="000000"/>
                <w:sz w:val="20"/>
                <w:szCs w:val="20"/>
              </w:rPr>
              <w:t>Palestine,</w:t>
            </w:r>
            <w:r w:rsidRPr="00414E6B">
              <w:rPr>
                <w:rFonts w:ascii="Times New Roman" w:eastAsia="Times New Roman" w:hAnsi="Times New Roman" w:cs="Times New Roman"/>
                <w:color w:val="000000"/>
                <w:sz w:val="20"/>
                <w:szCs w:val="20"/>
              </w:rPr>
              <w:t> </w:t>
            </w:r>
            <w:r w:rsidRPr="00414E6B">
              <w:rPr>
                <w:rFonts w:ascii="Times New Roman" w:eastAsia="Times New Roman" w:hAnsi="Times New Roman" w:cs="Times New Roman"/>
                <w:i/>
                <w:iCs/>
                <w:color w:val="000000"/>
                <w:sz w:val="20"/>
                <w:szCs w:val="20"/>
              </w:rPr>
              <w:t>1890-1939</w:t>
            </w:r>
            <w:r w:rsidRPr="00414E6B">
              <w:rPr>
                <w:rFonts w:ascii="Times New Roman" w:eastAsia="Times New Roman" w:hAnsi="Times New Roman" w:cs="Times New Roman"/>
                <w:color w:val="000000"/>
                <w:sz w:val="20"/>
                <w:szCs w:val="20"/>
              </w:rPr>
              <w:t>. Albany: State University of New York Press (2005).</w:t>
            </w:r>
          </w:p>
        </w:tc>
      </w:tr>
      <w:tr w:rsidR="00414E6B" w:rsidRPr="00414E6B" w14:paraId="733BD856" w14:textId="77777777" w:rsidTr="00414E6B">
        <w:trPr>
          <w:trHeight w:val="280"/>
        </w:trPr>
        <w:tc>
          <w:tcPr>
            <w:tcW w:w="8635" w:type="dxa"/>
            <w:shd w:val="clear" w:color="auto" w:fill="auto"/>
            <w:noWrap/>
            <w:hideMark/>
          </w:tcPr>
          <w:p w14:paraId="15FF03A7"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414E6B">
              <w:rPr>
                <w:rFonts w:ascii="Times New Roman" w:eastAsia="Times New Roman" w:hAnsi="Times New Roman" w:cs="Times New Roman"/>
                <w:i/>
                <w:iCs/>
                <w:color w:val="000000"/>
                <w:sz w:val="20"/>
                <w:szCs w:val="20"/>
              </w:rPr>
              <w:t>Private Entrepreneurship in Eretz Israel During the British Mandate: Hebrew Citrus Growing, 1920-1939</w:t>
            </w:r>
            <w:r w:rsidRPr="00414E6B">
              <w:rPr>
                <w:rFonts w:ascii="Times New Roman" w:eastAsia="Times New Roman" w:hAnsi="Times New Roman" w:cs="Times New Roman"/>
                <w:color w:val="000000"/>
                <w:sz w:val="20"/>
                <w:szCs w:val="20"/>
              </w:rPr>
              <w:t xml:space="preserve"> (1995) (unpublished Ph.D. dissertation, The Hebrew University of Jerusalem) (Hebrew).</w:t>
            </w:r>
          </w:p>
        </w:tc>
      </w:tr>
      <w:tr w:rsidR="00414E6B" w:rsidRPr="00414E6B" w14:paraId="2BE00C88" w14:textId="77777777" w:rsidTr="00414E6B">
        <w:trPr>
          <w:trHeight w:val="280"/>
        </w:trPr>
        <w:tc>
          <w:tcPr>
            <w:tcW w:w="8635" w:type="dxa"/>
            <w:shd w:val="clear" w:color="auto" w:fill="auto"/>
            <w:noWrap/>
            <w:hideMark/>
          </w:tcPr>
          <w:p w14:paraId="59E73DB2"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1736C99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Katz, Yossi. </w:t>
            </w:r>
            <w:r w:rsidRPr="00414E6B">
              <w:rPr>
                <w:rFonts w:ascii="Times New Roman" w:eastAsia="Times New Roman" w:hAnsi="Times New Roman" w:cs="Times New Roman"/>
                <w:i/>
                <w:iCs/>
                <w:color w:val="000000"/>
                <w:sz w:val="20"/>
                <w:szCs w:val="20"/>
              </w:rPr>
              <w:t>To Stop the Bulldozer: Establishing Institutions for the Preservation of Nature and the Historical Heritage of Israel</w:t>
            </w:r>
            <w:r w:rsidRPr="00414E6B">
              <w:rPr>
                <w:rFonts w:ascii="Times New Roman" w:eastAsia="Times New Roman" w:hAnsi="Times New Roman" w:cs="Times New Roman"/>
                <w:color w:val="000000"/>
                <w:sz w:val="20"/>
                <w:szCs w:val="20"/>
              </w:rPr>
              <w:t>. Ramat-Gan: Bar-</w:t>
            </w:r>
            <w:proofErr w:type="spellStart"/>
            <w:r w:rsidRPr="00414E6B">
              <w:rPr>
                <w:rFonts w:ascii="Times New Roman" w:eastAsia="Times New Roman" w:hAnsi="Times New Roman" w:cs="Times New Roman"/>
                <w:color w:val="000000"/>
                <w:sz w:val="20"/>
                <w:szCs w:val="20"/>
              </w:rPr>
              <w:t>Ilan</w:t>
            </w:r>
            <w:proofErr w:type="spellEnd"/>
            <w:r w:rsidRPr="00414E6B">
              <w:rPr>
                <w:rFonts w:ascii="Times New Roman" w:eastAsia="Times New Roman" w:hAnsi="Times New Roman" w:cs="Times New Roman"/>
                <w:color w:val="000000"/>
                <w:sz w:val="20"/>
                <w:szCs w:val="20"/>
              </w:rPr>
              <w:t xml:space="preserve"> University Press (2004) (Hebrew).</w:t>
            </w:r>
          </w:p>
        </w:tc>
      </w:tr>
      <w:tr w:rsidR="00414E6B" w:rsidRPr="00414E6B" w14:paraId="326B77AF" w14:textId="77777777" w:rsidTr="00414E6B">
        <w:trPr>
          <w:trHeight w:val="280"/>
        </w:trPr>
        <w:tc>
          <w:tcPr>
            <w:tcW w:w="8635" w:type="dxa"/>
            <w:shd w:val="clear" w:color="auto" w:fill="auto"/>
            <w:noWrap/>
            <w:hideMark/>
          </w:tcPr>
          <w:p w14:paraId="4D4D881C"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414E6B">
              <w:rPr>
                <w:rFonts w:ascii="Times New Roman" w:eastAsia="Times New Roman" w:hAnsi="Times New Roman" w:cs="Times New Roman"/>
                <w:color w:val="000000"/>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414E6B">
              <w:rPr>
                <w:rFonts w:ascii="Times New Roman" w:eastAsia="Times New Roman" w:hAnsi="Times New Roman" w:cs="Times New Roman"/>
                <w:i/>
                <w:iCs/>
                <w:color w:val="000000"/>
                <w:sz w:val="20"/>
                <w:szCs w:val="20"/>
              </w:rPr>
              <w:t>Sacred Places and Profane Spaces: Essays in the Geographics of Judaism, Christianity, and Islam</w:t>
            </w:r>
            <w:r w:rsidRPr="00414E6B">
              <w:rPr>
                <w:rFonts w:ascii="Times New Roman" w:eastAsia="Times New Roman" w:hAnsi="Times New Roman" w:cs="Times New Roman"/>
                <w:color w:val="000000"/>
                <w:sz w:val="20"/>
                <w:szCs w:val="20"/>
              </w:rPr>
              <w:t>. New York: Greenwood Press (1991): 3-20.</w:t>
            </w:r>
          </w:p>
        </w:tc>
      </w:tr>
      <w:tr w:rsidR="00414E6B" w:rsidRPr="00414E6B" w14:paraId="28FD3199" w14:textId="77777777" w:rsidTr="00414E6B">
        <w:trPr>
          <w:trHeight w:val="280"/>
        </w:trPr>
        <w:tc>
          <w:tcPr>
            <w:tcW w:w="8635" w:type="dxa"/>
            <w:shd w:val="clear" w:color="auto" w:fill="auto"/>
            <w:noWrap/>
            <w:hideMark/>
          </w:tcPr>
          <w:p w14:paraId="5FDB426C"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79901EDE"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Kedar</w:t>
            </w:r>
            <w:proofErr w:type="spellEnd"/>
            <w:r w:rsidRPr="00414E6B">
              <w:rPr>
                <w:rFonts w:ascii="Times New Roman" w:eastAsia="Times New Roman" w:hAnsi="Times New Roman" w:cs="Times New Roman"/>
                <w:color w:val="000000"/>
                <w:sz w:val="20"/>
                <w:szCs w:val="20"/>
              </w:rPr>
              <w:t xml:space="preserve">, Alexandre (Sandy), Ahmad Amara and Oren </w:t>
            </w:r>
            <w:proofErr w:type="spellStart"/>
            <w:r w:rsidRPr="00414E6B">
              <w:rPr>
                <w:rFonts w:ascii="Times New Roman" w:eastAsia="Times New Roman" w:hAnsi="Times New Roman" w:cs="Times New Roman"/>
                <w:color w:val="000000"/>
                <w:sz w:val="20"/>
                <w:szCs w:val="20"/>
              </w:rPr>
              <w:t>Yiftachel</w:t>
            </w:r>
            <w:proofErr w:type="spellEnd"/>
            <w:r w:rsidRPr="00414E6B">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i/>
                <w:iCs/>
                <w:color w:val="000000"/>
                <w:sz w:val="20"/>
                <w:szCs w:val="20"/>
              </w:rPr>
              <w:t>Emptied Lands: A Legal Geography of Bedouin Rights in the Negev</w:t>
            </w:r>
            <w:r w:rsidRPr="00414E6B">
              <w:rPr>
                <w:rFonts w:ascii="Times New Roman" w:eastAsia="Times New Roman" w:hAnsi="Times New Roman" w:cs="Times New Roman"/>
                <w:color w:val="000000"/>
                <w:sz w:val="20"/>
                <w:szCs w:val="20"/>
              </w:rPr>
              <w:t>. Stanford: Stanford University Press (2018).</w:t>
            </w:r>
          </w:p>
        </w:tc>
      </w:tr>
      <w:tr w:rsidR="00414E6B" w:rsidRPr="00414E6B" w14:paraId="0D61FE00" w14:textId="77777777" w:rsidTr="00414E6B">
        <w:trPr>
          <w:trHeight w:val="280"/>
        </w:trPr>
        <w:tc>
          <w:tcPr>
            <w:tcW w:w="8635" w:type="dxa"/>
            <w:shd w:val="clear" w:color="auto" w:fill="auto"/>
            <w:noWrap/>
            <w:hideMark/>
          </w:tcPr>
          <w:p w14:paraId="1464734E"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6CA83E11"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Kemp, Adriana. </w:t>
            </w:r>
            <w:r w:rsidRPr="00414E6B">
              <w:rPr>
                <w:rFonts w:ascii="Times New Roman" w:eastAsia="Times New Roman" w:hAnsi="Times New Roman" w:cs="Times New Roman"/>
                <w:i/>
                <w:iCs/>
                <w:color w:val="000000"/>
                <w:sz w:val="20"/>
                <w:szCs w:val="20"/>
              </w:rPr>
              <w:t>Talking Borders: The Construction of a Political Territory in Israel, 1949-1957</w:t>
            </w:r>
            <w:r w:rsidRPr="00414E6B">
              <w:rPr>
                <w:rFonts w:ascii="Times New Roman" w:eastAsia="Times New Roman" w:hAnsi="Times New Roman" w:cs="Times New Roman"/>
                <w:color w:val="000000"/>
                <w:sz w:val="20"/>
                <w:szCs w:val="20"/>
              </w:rPr>
              <w:t xml:space="preserve"> (1997) (unpublished Ph.D. dissertation, Tel Aviv University) (Hebrew).</w:t>
            </w:r>
          </w:p>
        </w:tc>
      </w:tr>
      <w:tr w:rsidR="00414E6B" w:rsidRPr="00414E6B" w14:paraId="5697923B" w14:textId="77777777" w:rsidTr="00414E6B">
        <w:trPr>
          <w:trHeight w:val="280"/>
        </w:trPr>
        <w:tc>
          <w:tcPr>
            <w:tcW w:w="8635" w:type="dxa"/>
            <w:shd w:val="clear" w:color="auto" w:fill="auto"/>
            <w:noWrap/>
            <w:hideMark/>
          </w:tcPr>
          <w:p w14:paraId="035A082A"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2FF7F5A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Kressel, </w:t>
            </w:r>
            <w:proofErr w:type="spellStart"/>
            <w:r w:rsidRPr="00414E6B">
              <w:rPr>
                <w:rFonts w:ascii="Times New Roman" w:eastAsia="Times New Roman" w:hAnsi="Times New Roman" w:cs="Times New Roman"/>
                <w:color w:val="000000"/>
                <w:sz w:val="20"/>
                <w:szCs w:val="20"/>
              </w:rPr>
              <w:t>Giedon</w:t>
            </w:r>
            <w:proofErr w:type="spellEnd"/>
            <w:r w:rsidRPr="00414E6B">
              <w:rPr>
                <w:rFonts w:ascii="Times New Roman" w:eastAsia="Times New Roman" w:hAnsi="Times New Roman" w:cs="Times New Roman"/>
                <w:color w:val="000000"/>
                <w:sz w:val="20"/>
                <w:szCs w:val="20"/>
              </w:rPr>
              <w:t xml:space="preserve"> M., Joseph Ben-David and Khalil Abu Rabia. "Changes in Land Usage by the Negev Bedouin since the Mid-19th Century." </w:t>
            </w:r>
            <w:r w:rsidRPr="00414E6B">
              <w:rPr>
                <w:rFonts w:ascii="Times New Roman" w:eastAsia="Times New Roman" w:hAnsi="Times New Roman" w:cs="Times New Roman"/>
                <w:i/>
                <w:iCs/>
                <w:color w:val="000000"/>
                <w:sz w:val="20"/>
                <w:szCs w:val="20"/>
              </w:rPr>
              <w:t>Nomadic Peoples</w:t>
            </w:r>
            <w:r w:rsidRPr="00414E6B">
              <w:rPr>
                <w:rFonts w:ascii="Times New Roman" w:eastAsia="Times New Roman" w:hAnsi="Times New Roman" w:cs="Times New Roman"/>
                <w:color w:val="000000"/>
                <w:sz w:val="20"/>
                <w:szCs w:val="20"/>
              </w:rPr>
              <w:t xml:space="preserve"> 28 (1991): 28-55.</w:t>
            </w:r>
          </w:p>
        </w:tc>
      </w:tr>
      <w:tr w:rsidR="00414E6B" w:rsidRPr="00414E6B" w14:paraId="0414BC9E" w14:textId="77777777" w:rsidTr="00414E6B">
        <w:trPr>
          <w:trHeight w:val="280"/>
        </w:trPr>
        <w:tc>
          <w:tcPr>
            <w:tcW w:w="8635" w:type="dxa"/>
            <w:shd w:val="clear" w:color="auto" w:fill="auto"/>
            <w:noWrap/>
            <w:hideMark/>
          </w:tcPr>
          <w:p w14:paraId="0FD1D2BA"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7F8DF59E"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Lemire, Vincent. "The Awakening of Palestinian </w:t>
            </w:r>
            <w:proofErr w:type="spellStart"/>
            <w:r w:rsidRPr="00414E6B">
              <w:rPr>
                <w:rFonts w:ascii="Times New Roman" w:eastAsia="Times New Roman" w:hAnsi="Times New Roman" w:cs="Times New Roman"/>
                <w:color w:val="000000"/>
                <w:sz w:val="20"/>
                <w:szCs w:val="20"/>
              </w:rPr>
              <w:t>Hydropolitical</w:t>
            </w:r>
            <w:proofErr w:type="spellEnd"/>
            <w:r w:rsidRPr="00414E6B">
              <w:rPr>
                <w:rFonts w:ascii="Times New Roman" w:eastAsia="Times New Roman" w:hAnsi="Times New Roman" w:cs="Times New Roman"/>
                <w:color w:val="000000"/>
                <w:sz w:val="20"/>
                <w:szCs w:val="20"/>
              </w:rPr>
              <w:t xml:space="preserve"> Consciousness: The </w:t>
            </w:r>
            <w:proofErr w:type="spellStart"/>
            <w:r w:rsidRPr="00414E6B">
              <w:rPr>
                <w:rFonts w:ascii="Times New Roman" w:eastAsia="Times New Roman" w:hAnsi="Times New Roman" w:cs="Times New Roman"/>
                <w:color w:val="000000"/>
                <w:sz w:val="20"/>
                <w:szCs w:val="20"/>
              </w:rPr>
              <w:t>Artas</w:t>
            </w:r>
            <w:proofErr w:type="spellEnd"/>
            <w:r w:rsidRPr="00414E6B">
              <w:rPr>
                <w:rFonts w:ascii="Times New Roman" w:eastAsia="Times New Roman" w:hAnsi="Times New Roman" w:cs="Times New Roman"/>
                <w:color w:val="000000"/>
                <w:sz w:val="20"/>
                <w:szCs w:val="20"/>
              </w:rPr>
              <w:t>-Jerusalem Water Conflict of 1925." </w:t>
            </w:r>
            <w:r w:rsidRPr="00414E6B">
              <w:rPr>
                <w:rFonts w:ascii="Times New Roman" w:eastAsia="Times New Roman" w:hAnsi="Times New Roman" w:cs="Times New Roman"/>
                <w:i/>
                <w:iCs/>
                <w:color w:val="000000"/>
                <w:sz w:val="20"/>
                <w:szCs w:val="20"/>
              </w:rPr>
              <w:t>Jerusalem Quarterly</w:t>
            </w:r>
            <w:r w:rsidRPr="00414E6B">
              <w:rPr>
                <w:rFonts w:ascii="Times New Roman" w:eastAsia="Times New Roman" w:hAnsi="Times New Roman" w:cs="Times New Roman"/>
                <w:color w:val="000000"/>
                <w:sz w:val="20"/>
                <w:szCs w:val="20"/>
              </w:rPr>
              <w:t> 48 (2011): 31-53.</w:t>
            </w:r>
          </w:p>
        </w:tc>
      </w:tr>
      <w:tr w:rsidR="00414E6B" w:rsidRPr="00414E6B" w14:paraId="0B5B3FD2" w14:textId="77777777" w:rsidTr="00414E6B">
        <w:trPr>
          <w:trHeight w:val="280"/>
        </w:trPr>
        <w:tc>
          <w:tcPr>
            <w:tcW w:w="8635" w:type="dxa"/>
            <w:shd w:val="clear" w:color="auto" w:fill="auto"/>
            <w:noWrap/>
            <w:hideMark/>
          </w:tcPr>
          <w:p w14:paraId="2A94A396"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35CCC2D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McElrone</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Susynne</w:t>
            </w:r>
            <w:proofErr w:type="spellEnd"/>
            <w:r w:rsidRPr="00414E6B">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i/>
                <w:iCs/>
                <w:color w:val="000000"/>
                <w:sz w:val="20"/>
                <w:szCs w:val="20"/>
              </w:rPr>
              <w:t xml:space="preserve">From the Pages of the Defter: A Social History of Rural Property Tenure and the Implementation of </w:t>
            </w:r>
            <w:proofErr w:type="spellStart"/>
            <w:r w:rsidRPr="00414E6B">
              <w:rPr>
                <w:rFonts w:ascii="Times New Roman" w:eastAsia="Times New Roman" w:hAnsi="Times New Roman" w:cs="Times New Roman"/>
                <w:i/>
                <w:iCs/>
                <w:color w:val="000000"/>
                <w:sz w:val="20"/>
                <w:szCs w:val="20"/>
              </w:rPr>
              <w:t>Tanzimat</w:t>
            </w:r>
            <w:proofErr w:type="spellEnd"/>
            <w:r w:rsidRPr="00414E6B">
              <w:rPr>
                <w:rFonts w:ascii="Times New Roman" w:eastAsia="Times New Roman" w:hAnsi="Times New Roman" w:cs="Times New Roman"/>
                <w:i/>
                <w:iCs/>
                <w:color w:val="000000"/>
                <w:sz w:val="20"/>
                <w:szCs w:val="20"/>
              </w:rPr>
              <w:t xml:space="preserve"> Land Reform in Hebron, Palestine, 1858-1900</w:t>
            </w:r>
            <w:r w:rsidRPr="00414E6B">
              <w:rPr>
                <w:rFonts w:ascii="Times New Roman" w:eastAsia="Times New Roman" w:hAnsi="Times New Roman" w:cs="Times New Roman"/>
                <w:color w:val="000000"/>
                <w:sz w:val="20"/>
                <w:szCs w:val="20"/>
              </w:rPr>
              <w:t xml:space="preserve"> (2016) (unpublished Ph.D. dissertation, New York University).</w:t>
            </w:r>
          </w:p>
        </w:tc>
      </w:tr>
      <w:tr w:rsidR="00414E6B" w:rsidRPr="00414E6B" w14:paraId="2DE3B951" w14:textId="77777777" w:rsidTr="00414E6B">
        <w:trPr>
          <w:trHeight w:val="280"/>
        </w:trPr>
        <w:tc>
          <w:tcPr>
            <w:tcW w:w="8635" w:type="dxa"/>
            <w:shd w:val="clear" w:color="auto" w:fill="auto"/>
            <w:noWrap/>
            <w:hideMark/>
          </w:tcPr>
          <w:p w14:paraId="46AC17FB"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5320D6F8"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Naor</w:t>
            </w:r>
            <w:proofErr w:type="spellEnd"/>
            <w:r w:rsidRPr="00414E6B">
              <w:rPr>
                <w:rFonts w:ascii="Times New Roman" w:eastAsia="Times New Roman" w:hAnsi="Times New Roman" w:cs="Times New Roman"/>
                <w:color w:val="000000"/>
                <w:sz w:val="20"/>
                <w:szCs w:val="20"/>
              </w:rPr>
              <w:t xml:space="preserve">, Mordecai ed. </w:t>
            </w:r>
            <w:r w:rsidRPr="00414E6B">
              <w:rPr>
                <w:rFonts w:ascii="Times New Roman" w:eastAsia="Times New Roman" w:hAnsi="Times New Roman" w:cs="Times New Roman"/>
                <w:i/>
                <w:iCs/>
                <w:color w:val="000000"/>
                <w:sz w:val="20"/>
                <w:szCs w:val="20"/>
              </w:rPr>
              <w:t>Settlement in the Negev, 1900-1960</w:t>
            </w:r>
            <w:r w:rsidRPr="00414E6B">
              <w:rPr>
                <w:rFonts w:ascii="Times New Roman" w:eastAsia="Times New Roman" w:hAnsi="Times New Roman" w:cs="Times New Roman"/>
                <w:color w:val="000000"/>
                <w:sz w:val="20"/>
                <w:szCs w:val="20"/>
              </w:rPr>
              <w:t xml:space="preserve">. Jerusalem: Yad </w:t>
            </w:r>
            <w:proofErr w:type="spellStart"/>
            <w:r w:rsidRPr="00414E6B">
              <w:rPr>
                <w:rFonts w:ascii="Times New Roman" w:eastAsia="Times New Roman" w:hAnsi="Times New Roman" w:cs="Times New Roman"/>
                <w:color w:val="000000"/>
                <w:sz w:val="20"/>
                <w:szCs w:val="20"/>
              </w:rPr>
              <w:t>Izhak</w:t>
            </w:r>
            <w:proofErr w:type="spellEnd"/>
            <w:r w:rsidRPr="00414E6B">
              <w:rPr>
                <w:rFonts w:ascii="Times New Roman" w:eastAsia="Times New Roman" w:hAnsi="Times New Roman" w:cs="Times New Roman"/>
                <w:color w:val="000000"/>
                <w:sz w:val="20"/>
                <w:szCs w:val="20"/>
              </w:rPr>
              <w:t xml:space="preserve"> Ben-</w:t>
            </w:r>
            <w:proofErr w:type="spellStart"/>
            <w:r w:rsidRPr="00414E6B">
              <w:rPr>
                <w:rFonts w:ascii="Times New Roman" w:eastAsia="Times New Roman" w:hAnsi="Times New Roman" w:cs="Times New Roman"/>
                <w:color w:val="000000"/>
                <w:sz w:val="20"/>
                <w:szCs w:val="20"/>
              </w:rPr>
              <w:t>Zvi</w:t>
            </w:r>
            <w:proofErr w:type="spellEnd"/>
            <w:r w:rsidRPr="00414E6B">
              <w:rPr>
                <w:rFonts w:ascii="Times New Roman" w:eastAsia="Times New Roman" w:hAnsi="Times New Roman" w:cs="Times New Roman"/>
                <w:color w:val="000000"/>
                <w:sz w:val="20"/>
                <w:szCs w:val="20"/>
              </w:rPr>
              <w:t xml:space="preserve"> (1985) (Hebrew).</w:t>
            </w:r>
          </w:p>
        </w:tc>
      </w:tr>
      <w:tr w:rsidR="00414E6B" w:rsidRPr="00414E6B" w14:paraId="3BD7B5F3" w14:textId="77777777" w:rsidTr="00414E6B">
        <w:trPr>
          <w:trHeight w:val="280"/>
        </w:trPr>
        <w:tc>
          <w:tcPr>
            <w:tcW w:w="8635" w:type="dxa"/>
            <w:shd w:val="clear" w:color="auto" w:fill="auto"/>
            <w:noWrap/>
            <w:hideMark/>
          </w:tcPr>
          <w:p w14:paraId="14492E5F"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5684B319"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Schorr, David. "Water Law in British-Ruled Palestine." </w:t>
            </w:r>
            <w:r w:rsidRPr="00414E6B">
              <w:rPr>
                <w:rFonts w:ascii="Times New Roman" w:eastAsia="Times New Roman" w:hAnsi="Times New Roman" w:cs="Times New Roman"/>
                <w:i/>
                <w:iCs/>
                <w:color w:val="000000"/>
                <w:sz w:val="20"/>
                <w:szCs w:val="20"/>
              </w:rPr>
              <w:t>Water History</w:t>
            </w:r>
            <w:r w:rsidRPr="00414E6B">
              <w:rPr>
                <w:rFonts w:ascii="Times New Roman" w:eastAsia="Times New Roman" w:hAnsi="Times New Roman" w:cs="Times New Roman"/>
                <w:color w:val="000000"/>
                <w:sz w:val="20"/>
                <w:szCs w:val="20"/>
              </w:rPr>
              <w:t xml:space="preserve"> 6 (2014): 247-263.</w:t>
            </w:r>
          </w:p>
        </w:tc>
      </w:tr>
      <w:tr w:rsidR="00414E6B" w:rsidRPr="00414E6B" w14:paraId="1523F507" w14:textId="77777777" w:rsidTr="00414E6B">
        <w:trPr>
          <w:trHeight w:val="280"/>
        </w:trPr>
        <w:tc>
          <w:tcPr>
            <w:tcW w:w="8635" w:type="dxa"/>
            <w:shd w:val="clear" w:color="auto" w:fill="auto"/>
            <w:noWrap/>
            <w:hideMark/>
          </w:tcPr>
          <w:p w14:paraId="5D6C0C62"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lastRenderedPageBreak/>
              <w:t>–––––.</w:t>
            </w:r>
            <w:r>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color w:val="000000"/>
                <w:sz w:val="20"/>
                <w:szCs w:val="20"/>
              </w:rPr>
              <w:t xml:space="preserve">"Forest Law in Palestine Mandate: Colonial Conservation in a Unique Context." In Uwe </w:t>
            </w:r>
            <w:proofErr w:type="spellStart"/>
            <w:r w:rsidRPr="00414E6B">
              <w:rPr>
                <w:rFonts w:ascii="Times New Roman" w:eastAsia="Times New Roman" w:hAnsi="Times New Roman" w:cs="Times New Roman"/>
                <w:color w:val="000000"/>
                <w:sz w:val="20"/>
                <w:szCs w:val="20"/>
              </w:rPr>
              <w:t>Luebken</w:t>
            </w:r>
            <w:proofErr w:type="spellEnd"/>
            <w:r w:rsidRPr="00414E6B">
              <w:rPr>
                <w:rFonts w:ascii="Times New Roman" w:eastAsia="Times New Roman" w:hAnsi="Times New Roman" w:cs="Times New Roman"/>
                <w:color w:val="000000"/>
                <w:sz w:val="20"/>
                <w:szCs w:val="20"/>
              </w:rPr>
              <w:t xml:space="preserve"> and Frank </w:t>
            </w:r>
            <w:proofErr w:type="spellStart"/>
            <w:r w:rsidRPr="00414E6B">
              <w:rPr>
                <w:rFonts w:ascii="Times New Roman" w:eastAsia="Times New Roman" w:hAnsi="Times New Roman" w:cs="Times New Roman"/>
                <w:color w:val="000000"/>
                <w:sz w:val="20"/>
                <w:szCs w:val="20"/>
              </w:rPr>
              <w:t>Uekötter</w:t>
            </w:r>
            <w:proofErr w:type="spellEnd"/>
            <w:r w:rsidRPr="00414E6B">
              <w:rPr>
                <w:rFonts w:ascii="Times New Roman" w:eastAsia="Times New Roman" w:hAnsi="Times New Roman" w:cs="Times New Roman"/>
                <w:color w:val="000000"/>
                <w:sz w:val="20"/>
                <w:szCs w:val="20"/>
              </w:rPr>
              <w:t xml:space="preserve"> eds. </w:t>
            </w:r>
            <w:r w:rsidRPr="00414E6B">
              <w:rPr>
                <w:rFonts w:ascii="Times New Roman" w:eastAsia="Times New Roman" w:hAnsi="Times New Roman" w:cs="Times New Roman"/>
                <w:i/>
                <w:iCs/>
                <w:color w:val="000000"/>
                <w:sz w:val="20"/>
                <w:szCs w:val="20"/>
              </w:rPr>
              <w:t>Managing the Unknown: Essays on Environmental Ignorance</w:t>
            </w:r>
            <w:r w:rsidRPr="00414E6B">
              <w:rPr>
                <w:rFonts w:ascii="Times New Roman" w:eastAsia="Times New Roman" w:hAnsi="Times New Roman" w:cs="Times New Roman"/>
                <w:color w:val="000000"/>
                <w:sz w:val="20"/>
                <w:szCs w:val="20"/>
              </w:rPr>
              <w:t xml:space="preserve">. New York: </w:t>
            </w:r>
            <w:proofErr w:type="spellStart"/>
            <w:r w:rsidRPr="00414E6B">
              <w:rPr>
                <w:rFonts w:ascii="Times New Roman" w:eastAsia="Times New Roman" w:hAnsi="Times New Roman" w:cs="Times New Roman"/>
                <w:color w:val="000000"/>
                <w:sz w:val="20"/>
                <w:szCs w:val="20"/>
              </w:rPr>
              <w:t>Berghahn</w:t>
            </w:r>
            <w:proofErr w:type="spellEnd"/>
            <w:r w:rsidRPr="00414E6B">
              <w:rPr>
                <w:rFonts w:ascii="Times New Roman" w:eastAsia="Times New Roman" w:hAnsi="Times New Roman" w:cs="Times New Roman"/>
                <w:color w:val="000000"/>
                <w:sz w:val="20"/>
                <w:szCs w:val="20"/>
              </w:rPr>
              <w:t xml:space="preserve"> Books (2014): 71-90.  </w:t>
            </w:r>
          </w:p>
        </w:tc>
      </w:tr>
      <w:tr w:rsidR="00414E6B" w:rsidRPr="00414E6B" w14:paraId="6CED28DA" w14:textId="77777777" w:rsidTr="00414E6B">
        <w:trPr>
          <w:trHeight w:val="280"/>
        </w:trPr>
        <w:tc>
          <w:tcPr>
            <w:tcW w:w="8635" w:type="dxa"/>
            <w:shd w:val="clear" w:color="auto" w:fill="auto"/>
            <w:noWrap/>
            <w:hideMark/>
          </w:tcPr>
          <w:p w14:paraId="1F7BD6D3"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color w:val="000000"/>
                <w:sz w:val="20"/>
                <w:szCs w:val="20"/>
              </w:rPr>
              <w:t xml:space="preserve">"A Prolonged Recessional: The Continuing Influence of British Rule on Israeli Environmental Law." In Daniel E. Orenstein, Alon Tal and Char Miller eds. </w:t>
            </w:r>
            <w:r w:rsidRPr="00414E6B">
              <w:rPr>
                <w:rFonts w:ascii="Times New Roman" w:eastAsia="Times New Roman" w:hAnsi="Times New Roman" w:cs="Times New Roman"/>
                <w:i/>
                <w:iCs/>
                <w:color w:val="000000"/>
                <w:sz w:val="20"/>
                <w:szCs w:val="20"/>
              </w:rPr>
              <w:t>Between Ruin and Restoration: An Environmental History of Israel</w:t>
            </w:r>
            <w:r w:rsidRPr="00414E6B">
              <w:rPr>
                <w:rFonts w:ascii="Times New Roman" w:eastAsia="Times New Roman" w:hAnsi="Times New Roman" w:cs="Times New Roman"/>
                <w:color w:val="000000"/>
                <w:sz w:val="20"/>
                <w:szCs w:val="20"/>
              </w:rPr>
              <w:t>. Pittsburgh: University of Pittsburgh Press (2013): 209-228.</w:t>
            </w:r>
          </w:p>
        </w:tc>
      </w:tr>
      <w:tr w:rsidR="00414E6B" w:rsidRPr="00414E6B" w14:paraId="42FAB728" w14:textId="77777777" w:rsidTr="00414E6B">
        <w:trPr>
          <w:trHeight w:val="280"/>
        </w:trPr>
        <w:tc>
          <w:tcPr>
            <w:tcW w:w="8635" w:type="dxa"/>
            <w:shd w:val="clear" w:color="auto" w:fill="auto"/>
            <w:noWrap/>
            <w:hideMark/>
          </w:tcPr>
          <w:p w14:paraId="221CDF42" w14:textId="53905306" w:rsidR="00E5369F" w:rsidRDefault="00E5369F" w:rsidP="00502B8E">
            <w:pPr>
              <w:spacing w:after="0" w:line="240" w:lineRule="auto"/>
              <w:jc w:val="both"/>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LINK Excel.Sheet.12 "https://d.docs.live.net/f37a91fd0551c8d8/</w:instrText>
            </w:r>
            <w:r>
              <w:rPr>
                <w:rFonts w:ascii="Times New Roman" w:eastAsia="Times New Roman" w:hAnsi="Times New Roman" w:cs="Times New Roman"/>
                <w:color w:val="000000"/>
                <w:sz w:val="20"/>
                <w:szCs w:val="20"/>
                <w:rtl/>
              </w:rPr>
              <w:instrText>אוניברסיטה/לימודים/משפטים/מחקר/שור/מכון ברג/סיבוב 5</w:instrText>
            </w:r>
            <w:r>
              <w:rPr>
                <w:rFonts w:ascii="Times New Roman" w:eastAsia="Times New Roman" w:hAnsi="Times New Roman" w:cs="Times New Roman"/>
                <w:color w:val="000000"/>
                <w:sz w:val="20"/>
                <w:szCs w:val="20"/>
              </w:rPr>
              <w:instrText>/topics.xlsx" "</w:instrText>
            </w:r>
            <w:r>
              <w:rPr>
                <w:rFonts w:ascii="Times New Roman" w:eastAsia="Times New Roman" w:hAnsi="Times New Roman" w:cs="Times New Roman"/>
                <w:color w:val="000000"/>
                <w:sz w:val="20"/>
                <w:szCs w:val="20"/>
                <w:rtl/>
              </w:rPr>
              <w:instrText>גיליון1</w:instrText>
            </w:r>
            <w:r>
              <w:rPr>
                <w:rFonts w:ascii="Times New Roman" w:eastAsia="Times New Roman" w:hAnsi="Times New Roman" w:cs="Times New Roman"/>
                <w:color w:val="000000"/>
                <w:sz w:val="20"/>
                <w:szCs w:val="20"/>
              </w:rPr>
              <w:instrText xml:space="preserve">!R54C2" \a \f 5 \h  \* MERGEFORMAT </w:instrText>
            </w:r>
            <w:r>
              <w:rPr>
                <w:rFonts w:ascii="Times New Roman" w:eastAsia="Times New Roman" w:hAnsi="Times New Roman" w:cs="Times New Roman"/>
                <w:color w:val="000000"/>
                <w:sz w:val="20"/>
                <w:szCs w:val="20"/>
              </w:rPr>
              <w:fldChar w:fldCharType="separate"/>
            </w:r>
          </w:p>
          <w:p w14:paraId="7ECB9E34" w14:textId="77777777" w:rsidR="00E5369F" w:rsidRPr="00502B8E" w:rsidRDefault="00E5369F" w:rsidP="00502B8E">
            <w:pPr>
              <w:spacing w:after="0" w:line="240" w:lineRule="auto"/>
              <w:ind w:left="227" w:hanging="227"/>
              <w:jc w:val="both"/>
              <w:rPr>
                <w:rFonts w:ascii="Times New Roman" w:eastAsia="Times New Roman" w:hAnsi="Times New Roman" w:cs="Times New Roman"/>
                <w:color w:val="000000"/>
                <w:sz w:val="20"/>
                <w:szCs w:val="20"/>
              </w:rPr>
            </w:pPr>
            <w:r w:rsidRPr="00502B8E">
              <w:rPr>
                <w:rFonts w:ascii="Times New Roman" w:eastAsia="Times New Roman" w:hAnsi="Times New Roman" w:cs="Times New Roman"/>
                <w:color w:val="000000"/>
                <w:sz w:val="20"/>
                <w:szCs w:val="20"/>
                <w:lang w:val="en-GB"/>
              </w:rPr>
              <w:t xml:space="preserve">Sela, </w:t>
            </w:r>
            <w:proofErr w:type="spellStart"/>
            <w:r w:rsidRPr="00502B8E">
              <w:rPr>
                <w:rFonts w:ascii="Times New Roman" w:eastAsia="Times New Roman" w:hAnsi="Times New Roman" w:cs="Times New Roman"/>
                <w:color w:val="000000"/>
                <w:sz w:val="20"/>
                <w:szCs w:val="20"/>
                <w:lang w:val="en-GB"/>
              </w:rPr>
              <w:t>Orli</w:t>
            </w:r>
            <w:proofErr w:type="spellEnd"/>
            <w:r w:rsidRPr="00502B8E">
              <w:rPr>
                <w:rFonts w:ascii="Times New Roman" w:eastAsia="Times New Roman" w:hAnsi="Times New Roman" w:cs="Times New Roman"/>
                <w:color w:val="000000"/>
                <w:sz w:val="20"/>
                <w:szCs w:val="20"/>
                <w:lang w:val="en-GB"/>
              </w:rPr>
              <w:t xml:space="preserve">. "Young Woman with a Water Jug: Water Rights in the Zionist Settlement in Eretz Israel at the End of the Ottoman Era." </w:t>
            </w:r>
            <w:r w:rsidRPr="00502B8E">
              <w:rPr>
                <w:rFonts w:ascii="Times New Roman" w:eastAsia="Times New Roman" w:hAnsi="Times New Roman" w:cs="Times New Roman"/>
                <w:i/>
                <w:iCs/>
                <w:color w:val="000000"/>
                <w:sz w:val="20"/>
                <w:szCs w:val="20"/>
                <w:lang w:val="en-GB"/>
              </w:rPr>
              <w:t>Cathedra</w:t>
            </w:r>
            <w:r w:rsidRPr="00502B8E">
              <w:rPr>
                <w:rFonts w:ascii="Times New Roman" w:eastAsia="Times New Roman" w:hAnsi="Times New Roman" w:cs="Times New Roman"/>
                <w:color w:val="000000"/>
                <w:sz w:val="20"/>
                <w:szCs w:val="20"/>
                <w:lang w:val="en-GB"/>
              </w:rPr>
              <w:t xml:space="preserve"> 172 (2019): 51-72 (Hebrew).</w:t>
            </w:r>
          </w:p>
          <w:p w14:paraId="354213B4" w14:textId="5BCB0EFD" w:rsidR="00414E6B" w:rsidRPr="00414E6B" w:rsidRDefault="00E5369F" w:rsidP="00E866FB">
            <w:pPr>
              <w:spacing w:after="0" w:line="240" w:lineRule="auto"/>
              <w:ind w:left="22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end"/>
            </w:r>
            <w:r w:rsidRPr="00B66FF6">
              <w:rPr>
                <w:sz w:val="20"/>
                <w:szCs w:val="20"/>
              </w:rPr>
              <w:t>–––––.</w:t>
            </w:r>
            <w:r>
              <w:rPr>
                <w:rFonts w:ascii="Times New Roman" w:eastAsia="Times New Roman" w:hAnsi="Times New Roman" w:cs="Times New Roman"/>
                <w:color w:val="000000"/>
                <w:sz w:val="20"/>
                <w:szCs w:val="20"/>
              </w:rPr>
              <w:t xml:space="preserve"> </w:t>
            </w:r>
            <w:r w:rsidR="00414E6B" w:rsidRPr="00414E6B">
              <w:rPr>
                <w:rFonts w:ascii="Times New Roman" w:eastAsia="Times New Roman" w:hAnsi="Times New Roman" w:cs="Times New Roman"/>
                <w:i/>
                <w:iCs/>
                <w:color w:val="000000"/>
                <w:sz w:val="20"/>
                <w:szCs w:val="20"/>
              </w:rPr>
              <w:t>The History of Water Property Law During Israel’s First Decade</w:t>
            </w:r>
            <w:r w:rsidR="00414E6B" w:rsidRPr="00414E6B">
              <w:rPr>
                <w:rFonts w:ascii="Times New Roman" w:eastAsia="Times New Roman" w:hAnsi="Times New Roman" w:cs="Times New Roman"/>
                <w:color w:val="000000"/>
                <w:sz w:val="20"/>
                <w:szCs w:val="20"/>
              </w:rPr>
              <w:t xml:space="preserve"> (2013) (unpublished Ph.D. dissertation, Bar-</w:t>
            </w:r>
            <w:proofErr w:type="spellStart"/>
            <w:r w:rsidR="00414E6B" w:rsidRPr="00414E6B">
              <w:rPr>
                <w:rFonts w:ascii="Times New Roman" w:eastAsia="Times New Roman" w:hAnsi="Times New Roman" w:cs="Times New Roman"/>
                <w:color w:val="000000"/>
                <w:sz w:val="20"/>
                <w:szCs w:val="20"/>
              </w:rPr>
              <w:t>Ilan</w:t>
            </w:r>
            <w:proofErr w:type="spellEnd"/>
            <w:r w:rsidR="00414E6B" w:rsidRPr="00414E6B">
              <w:rPr>
                <w:rFonts w:ascii="Times New Roman" w:eastAsia="Times New Roman" w:hAnsi="Times New Roman" w:cs="Times New Roman"/>
                <w:color w:val="000000"/>
                <w:sz w:val="20"/>
                <w:szCs w:val="20"/>
              </w:rPr>
              <w:t xml:space="preserve"> University) (Hebrew).</w:t>
            </w:r>
          </w:p>
        </w:tc>
      </w:tr>
      <w:tr w:rsidR="00414E6B" w:rsidRPr="00414E6B" w14:paraId="41F91E70" w14:textId="77777777" w:rsidTr="00414E6B">
        <w:trPr>
          <w:trHeight w:val="280"/>
        </w:trPr>
        <w:tc>
          <w:tcPr>
            <w:tcW w:w="8635" w:type="dxa"/>
            <w:shd w:val="clear" w:color="auto" w:fill="auto"/>
            <w:noWrap/>
            <w:hideMark/>
          </w:tcPr>
          <w:p w14:paraId="27516069"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77EC5EAE"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Shahar, </w:t>
            </w:r>
            <w:proofErr w:type="spellStart"/>
            <w:r w:rsidRPr="00414E6B">
              <w:rPr>
                <w:rFonts w:ascii="Times New Roman" w:eastAsia="Times New Roman" w:hAnsi="Times New Roman" w:cs="Times New Roman"/>
                <w:color w:val="000000"/>
                <w:sz w:val="20"/>
                <w:szCs w:val="20"/>
              </w:rPr>
              <w:t>Ido</w:t>
            </w:r>
            <w:proofErr w:type="spellEnd"/>
            <w:r w:rsidRPr="00414E6B">
              <w:rPr>
                <w:rFonts w:ascii="Times New Roman" w:eastAsia="Times New Roman" w:hAnsi="Times New Roman" w:cs="Times New Roman"/>
                <w:color w:val="000000"/>
                <w:sz w:val="20"/>
                <w:szCs w:val="20"/>
              </w:rPr>
              <w:t>. "Legal Pluralism Incarnate: An Institutional Perspective on Courts of Law in Colonial and Postcolonial Settings." </w:t>
            </w:r>
            <w:r w:rsidRPr="00414E6B">
              <w:rPr>
                <w:rFonts w:ascii="Times New Roman" w:eastAsia="Times New Roman" w:hAnsi="Times New Roman" w:cs="Times New Roman"/>
                <w:i/>
                <w:iCs/>
                <w:color w:val="000000"/>
                <w:sz w:val="20"/>
                <w:szCs w:val="20"/>
              </w:rPr>
              <w:t>Journal of Legal Pluralism </w:t>
            </w:r>
            <w:r w:rsidRPr="00414E6B">
              <w:rPr>
                <w:rFonts w:ascii="Times New Roman" w:eastAsia="Times New Roman" w:hAnsi="Times New Roman" w:cs="Times New Roman"/>
                <w:color w:val="000000"/>
                <w:sz w:val="20"/>
                <w:szCs w:val="20"/>
              </w:rPr>
              <w:t>65 (2012): 133-163.</w:t>
            </w:r>
          </w:p>
        </w:tc>
      </w:tr>
      <w:tr w:rsidR="00414E6B" w:rsidRPr="00414E6B" w14:paraId="6A39CB90" w14:textId="77777777" w:rsidTr="00414E6B">
        <w:trPr>
          <w:trHeight w:val="280"/>
        </w:trPr>
        <w:tc>
          <w:tcPr>
            <w:tcW w:w="8635" w:type="dxa"/>
            <w:shd w:val="clear" w:color="auto" w:fill="auto"/>
            <w:noWrap/>
            <w:hideMark/>
          </w:tcPr>
          <w:p w14:paraId="0D1197D1"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76F9DA54"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Shmueli</w:t>
            </w:r>
            <w:proofErr w:type="spellEnd"/>
            <w:r w:rsidRPr="00414E6B">
              <w:rPr>
                <w:rFonts w:ascii="Times New Roman" w:eastAsia="Times New Roman" w:hAnsi="Times New Roman" w:cs="Times New Roman"/>
                <w:color w:val="000000"/>
                <w:sz w:val="20"/>
                <w:szCs w:val="20"/>
              </w:rPr>
              <w:t xml:space="preserve">, Deborah and </w:t>
            </w:r>
            <w:proofErr w:type="spellStart"/>
            <w:r w:rsidRPr="00414E6B">
              <w:rPr>
                <w:rFonts w:ascii="Times New Roman" w:eastAsia="Times New Roman" w:hAnsi="Times New Roman" w:cs="Times New Roman"/>
                <w:color w:val="000000"/>
                <w:sz w:val="20"/>
                <w:szCs w:val="20"/>
              </w:rPr>
              <w:t>Rassem</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Khamaisi</w:t>
            </w:r>
            <w:proofErr w:type="spellEnd"/>
            <w:r w:rsidRPr="00414E6B">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i/>
                <w:iCs/>
                <w:color w:val="000000"/>
                <w:sz w:val="20"/>
                <w:szCs w:val="20"/>
              </w:rPr>
              <w:t>Israel’s Invisible Negev Bedouin: Issues of Land and Spatial Planning</w:t>
            </w:r>
            <w:r w:rsidRPr="00414E6B">
              <w:rPr>
                <w:rFonts w:ascii="Times New Roman" w:eastAsia="Times New Roman" w:hAnsi="Times New Roman" w:cs="Times New Roman"/>
                <w:color w:val="000000"/>
                <w:sz w:val="20"/>
                <w:szCs w:val="20"/>
              </w:rPr>
              <w:t>. Cham: Springer (2015).</w:t>
            </w:r>
          </w:p>
        </w:tc>
      </w:tr>
      <w:tr w:rsidR="00414E6B" w:rsidRPr="00414E6B" w14:paraId="096038CB" w14:textId="77777777" w:rsidTr="00414E6B">
        <w:trPr>
          <w:trHeight w:val="280"/>
        </w:trPr>
        <w:tc>
          <w:tcPr>
            <w:tcW w:w="8635" w:type="dxa"/>
            <w:shd w:val="clear" w:color="auto" w:fill="auto"/>
            <w:noWrap/>
            <w:hideMark/>
          </w:tcPr>
          <w:p w14:paraId="464347AD"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1E219510"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Stein, Kenneth W. "Legal Protection and Circumvention of Rights for Cultivators in Mandatory Palestine." In Joel S. Migdal ed. </w:t>
            </w:r>
            <w:r w:rsidRPr="00414E6B">
              <w:rPr>
                <w:rFonts w:ascii="Times New Roman" w:eastAsia="Times New Roman" w:hAnsi="Times New Roman" w:cs="Times New Roman"/>
                <w:i/>
                <w:iCs/>
                <w:color w:val="000000"/>
                <w:sz w:val="20"/>
                <w:szCs w:val="20"/>
              </w:rPr>
              <w:t>Palestinian Society and Politic</w:t>
            </w:r>
            <w:r w:rsidRPr="00414E6B">
              <w:rPr>
                <w:rFonts w:ascii="Times New Roman" w:eastAsia="Times New Roman" w:hAnsi="Times New Roman" w:cs="Times New Roman"/>
                <w:color w:val="000000"/>
                <w:sz w:val="20"/>
                <w:szCs w:val="20"/>
              </w:rPr>
              <w:t xml:space="preserve">s. Princeton: Princeton University Press (1980): 223-264. </w:t>
            </w:r>
          </w:p>
        </w:tc>
      </w:tr>
      <w:tr w:rsidR="00414E6B" w:rsidRPr="00414E6B" w14:paraId="739FEAFD" w14:textId="77777777" w:rsidTr="00414E6B">
        <w:trPr>
          <w:trHeight w:val="280"/>
        </w:trPr>
        <w:tc>
          <w:tcPr>
            <w:tcW w:w="8635" w:type="dxa"/>
            <w:shd w:val="clear" w:color="auto" w:fill="auto"/>
            <w:noWrap/>
            <w:hideMark/>
          </w:tcPr>
          <w:p w14:paraId="4B6F7D24"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0F20AD2A"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Tyler, Warwick P.N. </w:t>
            </w:r>
            <w:r w:rsidRPr="00414E6B">
              <w:rPr>
                <w:rFonts w:ascii="Times New Roman" w:eastAsia="Times New Roman" w:hAnsi="Times New Roman" w:cs="Times New Roman"/>
                <w:i/>
                <w:iCs/>
                <w:color w:val="000000"/>
                <w:sz w:val="20"/>
                <w:szCs w:val="20"/>
              </w:rPr>
              <w:t>State Lands and Rural Development in Mandatory Palestine, 1920-1948</w:t>
            </w:r>
            <w:r w:rsidRPr="00414E6B">
              <w:rPr>
                <w:rFonts w:ascii="Times New Roman" w:eastAsia="Times New Roman" w:hAnsi="Times New Roman" w:cs="Times New Roman"/>
                <w:color w:val="000000"/>
                <w:sz w:val="20"/>
                <w:szCs w:val="20"/>
              </w:rPr>
              <w:t>. Brighton: Sussex Academic Press (2001).</w:t>
            </w:r>
          </w:p>
        </w:tc>
      </w:tr>
      <w:tr w:rsidR="00414E6B" w:rsidRPr="00414E6B" w14:paraId="686AB640" w14:textId="77777777" w:rsidTr="00414E6B">
        <w:trPr>
          <w:trHeight w:val="280"/>
        </w:trPr>
        <w:tc>
          <w:tcPr>
            <w:tcW w:w="8635" w:type="dxa"/>
            <w:shd w:val="clear" w:color="auto" w:fill="auto"/>
            <w:noWrap/>
            <w:hideMark/>
          </w:tcPr>
          <w:p w14:paraId="5906D7BB"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768F0975"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Tzimerman</w:t>
            </w:r>
            <w:proofErr w:type="spellEnd"/>
            <w:r w:rsidRPr="00414E6B">
              <w:rPr>
                <w:rFonts w:ascii="Times New Roman" w:eastAsia="Times New Roman" w:hAnsi="Times New Roman" w:cs="Times New Roman"/>
                <w:color w:val="000000"/>
                <w:sz w:val="20"/>
                <w:szCs w:val="20"/>
              </w:rPr>
              <w:t xml:space="preserve">, Nadia and Yair </w:t>
            </w:r>
            <w:proofErr w:type="spellStart"/>
            <w:r w:rsidRPr="00414E6B">
              <w:rPr>
                <w:rFonts w:ascii="Times New Roman" w:eastAsia="Times New Roman" w:hAnsi="Times New Roman" w:cs="Times New Roman"/>
                <w:color w:val="000000"/>
                <w:sz w:val="20"/>
                <w:szCs w:val="20"/>
              </w:rPr>
              <w:t>Sagy</w:t>
            </w:r>
            <w:proofErr w:type="spellEnd"/>
            <w:r w:rsidRPr="00414E6B">
              <w:rPr>
                <w:rFonts w:ascii="Times New Roman" w:eastAsia="Times New Roman" w:hAnsi="Times New Roman" w:cs="Times New Roman"/>
                <w:color w:val="000000"/>
                <w:sz w:val="20"/>
                <w:szCs w:val="20"/>
              </w:rPr>
              <w:t>. "On the Sources of Section 33 of the Petroleum Act." </w:t>
            </w:r>
            <w:r w:rsidRPr="00414E6B">
              <w:rPr>
                <w:rFonts w:ascii="Times New Roman" w:eastAsia="Times New Roman" w:hAnsi="Times New Roman" w:cs="Times New Roman"/>
                <w:i/>
                <w:iCs/>
                <w:color w:val="000000"/>
                <w:sz w:val="20"/>
                <w:szCs w:val="20"/>
              </w:rPr>
              <w:t>Tel Aviv University Law Review</w:t>
            </w:r>
            <w:r w:rsidRPr="00414E6B">
              <w:rPr>
                <w:rFonts w:ascii="Times New Roman" w:eastAsia="Times New Roman" w:hAnsi="Times New Roman" w:cs="Times New Roman"/>
                <w:color w:val="000000"/>
                <w:sz w:val="20"/>
                <w:szCs w:val="20"/>
              </w:rPr>
              <w:t> 38(1) (2015): 51-95 (Hebrew).</w:t>
            </w:r>
          </w:p>
        </w:tc>
      </w:tr>
      <w:tr w:rsidR="00414E6B" w:rsidRPr="00414E6B" w14:paraId="2D666C74" w14:textId="77777777" w:rsidTr="00414E6B">
        <w:trPr>
          <w:trHeight w:val="280"/>
        </w:trPr>
        <w:tc>
          <w:tcPr>
            <w:tcW w:w="8635" w:type="dxa"/>
            <w:shd w:val="clear" w:color="auto" w:fill="auto"/>
            <w:noWrap/>
            <w:hideMark/>
          </w:tcPr>
          <w:p w14:paraId="60DEB30E"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5A87F8F3"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414E6B">
              <w:rPr>
                <w:rFonts w:ascii="Times New Roman" w:eastAsia="Times New Roman" w:hAnsi="Times New Roman" w:cs="Times New Roman"/>
                <w:color w:val="000000"/>
                <w:sz w:val="20"/>
                <w:szCs w:val="20"/>
              </w:rPr>
              <w:t xml:space="preserve">Vogel, David. "Israeli Environmental Policy in Comparative Perspective." </w:t>
            </w:r>
            <w:r w:rsidRPr="00414E6B">
              <w:rPr>
                <w:rFonts w:ascii="Times New Roman" w:eastAsia="Times New Roman" w:hAnsi="Times New Roman" w:cs="Times New Roman"/>
                <w:i/>
                <w:iCs/>
                <w:color w:val="000000"/>
                <w:sz w:val="20"/>
                <w:szCs w:val="20"/>
              </w:rPr>
              <w:t xml:space="preserve">Israel Affairs </w:t>
            </w:r>
            <w:r w:rsidRPr="00414E6B">
              <w:rPr>
                <w:rFonts w:ascii="Times New Roman" w:eastAsia="Times New Roman" w:hAnsi="Times New Roman" w:cs="Times New Roman"/>
                <w:color w:val="000000"/>
                <w:sz w:val="20"/>
                <w:szCs w:val="20"/>
              </w:rPr>
              <w:t xml:space="preserve">5 (1999): 246-264. </w:t>
            </w:r>
          </w:p>
        </w:tc>
      </w:tr>
      <w:tr w:rsidR="00414E6B" w:rsidRPr="00414E6B" w14:paraId="54DAC463" w14:textId="77777777" w:rsidTr="00414E6B">
        <w:trPr>
          <w:trHeight w:val="280"/>
        </w:trPr>
        <w:tc>
          <w:tcPr>
            <w:tcW w:w="8635" w:type="dxa"/>
            <w:shd w:val="clear" w:color="auto" w:fill="auto"/>
            <w:noWrap/>
            <w:hideMark/>
          </w:tcPr>
          <w:p w14:paraId="4D5B6060"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458D3298"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Yiftachel</w:t>
            </w:r>
            <w:proofErr w:type="spellEnd"/>
            <w:r w:rsidRPr="00414E6B">
              <w:rPr>
                <w:rFonts w:ascii="Times New Roman" w:eastAsia="Times New Roman" w:hAnsi="Times New Roman" w:cs="Times New Roman"/>
                <w:color w:val="000000"/>
                <w:sz w:val="20"/>
                <w:szCs w:val="20"/>
              </w:rPr>
              <w:t xml:space="preserve">, Oren. "Critical Theory and 'Gray Space': Mobilization of the Colonized." </w:t>
            </w:r>
            <w:r w:rsidRPr="00414E6B">
              <w:rPr>
                <w:rFonts w:ascii="Times New Roman" w:eastAsia="Times New Roman" w:hAnsi="Times New Roman" w:cs="Times New Roman"/>
                <w:i/>
                <w:iCs/>
                <w:color w:val="000000"/>
                <w:sz w:val="20"/>
                <w:szCs w:val="20"/>
              </w:rPr>
              <w:t>City</w:t>
            </w:r>
            <w:r w:rsidRPr="00414E6B">
              <w:rPr>
                <w:rFonts w:ascii="Times New Roman" w:eastAsia="Times New Roman" w:hAnsi="Times New Roman" w:cs="Times New Roman"/>
                <w:color w:val="000000"/>
                <w:sz w:val="20"/>
                <w:szCs w:val="20"/>
              </w:rPr>
              <w:t xml:space="preserve"> 13 (2010): 246-263.</w:t>
            </w:r>
          </w:p>
        </w:tc>
      </w:tr>
      <w:tr w:rsidR="00414E6B" w:rsidRPr="00414E6B" w14:paraId="723E3E61" w14:textId="77777777" w:rsidTr="00414E6B">
        <w:trPr>
          <w:trHeight w:val="280"/>
        </w:trPr>
        <w:tc>
          <w:tcPr>
            <w:tcW w:w="8635" w:type="dxa"/>
            <w:shd w:val="clear" w:color="auto" w:fill="auto"/>
            <w:noWrap/>
            <w:hideMark/>
          </w:tcPr>
          <w:p w14:paraId="67ACFBA1"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rFonts w:ascii="Times New Roman" w:eastAsia="Times New Roman" w:hAnsi="Times New Roman" w:cs="Times New Roman"/>
                <w:i/>
                <w:iCs/>
                <w:color w:val="000000"/>
                <w:sz w:val="20"/>
                <w:szCs w:val="20"/>
              </w:rPr>
              <w:t xml:space="preserve"> </w:t>
            </w:r>
            <w:proofErr w:type="spellStart"/>
            <w:r w:rsidRPr="00414E6B">
              <w:rPr>
                <w:rFonts w:ascii="Times New Roman" w:eastAsia="Times New Roman" w:hAnsi="Times New Roman" w:cs="Times New Roman"/>
                <w:i/>
                <w:iCs/>
                <w:color w:val="000000"/>
                <w:sz w:val="20"/>
                <w:szCs w:val="20"/>
              </w:rPr>
              <w:t>Ethnocracy</w:t>
            </w:r>
            <w:proofErr w:type="spellEnd"/>
            <w:r w:rsidRPr="00414E6B">
              <w:rPr>
                <w:rFonts w:ascii="Times New Roman" w:eastAsia="Times New Roman" w:hAnsi="Times New Roman" w:cs="Times New Roman"/>
                <w:i/>
                <w:iCs/>
                <w:color w:val="000000"/>
                <w:sz w:val="20"/>
                <w:szCs w:val="20"/>
              </w:rPr>
              <w:t>: Land and Identity Politics in Israel/Palestine</w:t>
            </w:r>
            <w:r w:rsidRPr="00414E6B">
              <w:rPr>
                <w:rFonts w:ascii="Times New Roman" w:eastAsia="Times New Roman" w:hAnsi="Times New Roman" w:cs="Times New Roman"/>
                <w:color w:val="000000"/>
                <w:sz w:val="20"/>
                <w:szCs w:val="20"/>
              </w:rPr>
              <w:t xml:space="preserve">. Pennsylvania: University of Pennsylvania Press (2006). </w:t>
            </w:r>
          </w:p>
        </w:tc>
      </w:tr>
      <w:tr w:rsidR="00414E6B" w:rsidRPr="00414E6B" w14:paraId="721C3F2D" w14:textId="77777777" w:rsidTr="00414E6B">
        <w:trPr>
          <w:trHeight w:val="280"/>
        </w:trPr>
        <w:tc>
          <w:tcPr>
            <w:tcW w:w="8635" w:type="dxa"/>
            <w:shd w:val="clear" w:color="auto" w:fill="auto"/>
            <w:noWrap/>
            <w:hideMark/>
          </w:tcPr>
          <w:p w14:paraId="58EC08D9"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r w:rsidRPr="00B66FF6">
              <w:rPr>
                <w:sz w:val="20"/>
                <w:szCs w:val="20"/>
              </w:rPr>
              <w:t>–––––.</w:t>
            </w:r>
            <w:r>
              <w:rPr>
                <w:sz w:val="20"/>
                <w:szCs w:val="20"/>
              </w:rPr>
              <w:t xml:space="preserve"> </w:t>
            </w:r>
            <w:r w:rsidRPr="00414E6B">
              <w:rPr>
                <w:rFonts w:ascii="Times New Roman" w:eastAsia="Times New Roman" w:hAnsi="Times New Roman" w:cs="Times New Roman"/>
                <w:color w:val="000000"/>
                <w:sz w:val="20"/>
                <w:szCs w:val="20"/>
              </w:rPr>
              <w:t xml:space="preserve">"Bedouin-Arabs and the Israeli Settler state: Land Policies and Indigenous Resistance." In Duane Champagne and Ismael Abu-Saad eds. </w:t>
            </w:r>
            <w:r w:rsidRPr="00414E6B">
              <w:rPr>
                <w:rFonts w:ascii="Times New Roman" w:eastAsia="Times New Roman" w:hAnsi="Times New Roman" w:cs="Times New Roman"/>
                <w:i/>
                <w:iCs/>
                <w:color w:val="000000"/>
                <w:sz w:val="20"/>
                <w:szCs w:val="20"/>
              </w:rPr>
              <w:t>The Future of Indigenous Peoples: Strategies for Survival and Development</w:t>
            </w:r>
            <w:r w:rsidRPr="00414E6B">
              <w:rPr>
                <w:rFonts w:ascii="Times New Roman" w:eastAsia="Times New Roman" w:hAnsi="Times New Roman" w:cs="Times New Roman"/>
                <w:color w:val="000000"/>
                <w:sz w:val="20"/>
                <w:szCs w:val="20"/>
              </w:rPr>
              <w:t xml:space="preserve">. Los Angeles: American Indian Studies Center Publication, UCLA (2003): 21-47.  </w:t>
            </w:r>
          </w:p>
        </w:tc>
      </w:tr>
      <w:tr w:rsidR="00414E6B" w:rsidRPr="00414E6B" w14:paraId="2DEB686D" w14:textId="77777777" w:rsidTr="00414E6B">
        <w:trPr>
          <w:trHeight w:val="280"/>
        </w:trPr>
        <w:tc>
          <w:tcPr>
            <w:tcW w:w="8635" w:type="dxa"/>
            <w:shd w:val="clear" w:color="auto" w:fill="auto"/>
            <w:noWrap/>
            <w:hideMark/>
          </w:tcPr>
          <w:p w14:paraId="40B09317"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5107A901"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Yiftachel</w:t>
            </w:r>
            <w:proofErr w:type="spellEnd"/>
            <w:r w:rsidRPr="00414E6B">
              <w:rPr>
                <w:rFonts w:ascii="Times New Roman" w:eastAsia="Times New Roman" w:hAnsi="Times New Roman" w:cs="Times New Roman"/>
                <w:color w:val="000000"/>
                <w:sz w:val="20"/>
                <w:szCs w:val="20"/>
              </w:rPr>
              <w:t xml:space="preserve">, Oren and Alexandre (Sandy) </w:t>
            </w:r>
            <w:proofErr w:type="spellStart"/>
            <w:r w:rsidRPr="00414E6B">
              <w:rPr>
                <w:rFonts w:ascii="Times New Roman" w:eastAsia="Times New Roman" w:hAnsi="Times New Roman" w:cs="Times New Roman"/>
                <w:color w:val="000000"/>
                <w:sz w:val="20"/>
                <w:szCs w:val="20"/>
              </w:rPr>
              <w:t>Kedar</w:t>
            </w:r>
            <w:proofErr w:type="spellEnd"/>
            <w:r w:rsidRPr="00414E6B">
              <w:rPr>
                <w:rFonts w:ascii="Times New Roman" w:eastAsia="Times New Roman" w:hAnsi="Times New Roman" w:cs="Times New Roman"/>
                <w:color w:val="000000"/>
                <w:sz w:val="20"/>
                <w:szCs w:val="20"/>
              </w:rPr>
              <w:t xml:space="preserve">. "On Property and Power: Israeli Land Regime." </w:t>
            </w:r>
            <w:r w:rsidRPr="00414E6B">
              <w:rPr>
                <w:rFonts w:ascii="Times New Roman" w:eastAsia="Times New Roman" w:hAnsi="Times New Roman" w:cs="Times New Roman"/>
                <w:i/>
                <w:iCs/>
                <w:color w:val="000000"/>
                <w:sz w:val="20"/>
                <w:szCs w:val="20"/>
              </w:rPr>
              <w:t>Theory and Criticism</w:t>
            </w:r>
            <w:r w:rsidRPr="00414E6B">
              <w:rPr>
                <w:rFonts w:ascii="Times New Roman" w:eastAsia="Times New Roman" w:hAnsi="Times New Roman" w:cs="Times New Roman"/>
                <w:color w:val="000000"/>
                <w:sz w:val="20"/>
                <w:szCs w:val="20"/>
              </w:rPr>
              <w:t xml:space="preserve"> 16 (2000): 67-100 (Hebrew).</w:t>
            </w:r>
          </w:p>
        </w:tc>
      </w:tr>
      <w:tr w:rsidR="00414E6B" w:rsidRPr="00414E6B" w14:paraId="10BE0705" w14:textId="77777777" w:rsidTr="00414E6B">
        <w:trPr>
          <w:trHeight w:val="280"/>
        </w:trPr>
        <w:tc>
          <w:tcPr>
            <w:tcW w:w="8635" w:type="dxa"/>
            <w:shd w:val="clear" w:color="auto" w:fill="auto"/>
            <w:noWrap/>
            <w:hideMark/>
          </w:tcPr>
          <w:p w14:paraId="3B11E801"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0A844E57"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Yiftachel</w:t>
            </w:r>
            <w:proofErr w:type="spellEnd"/>
            <w:r w:rsidRPr="00414E6B">
              <w:rPr>
                <w:rFonts w:ascii="Times New Roman" w:eastAsia="Times New Roman" w:hAnsi="Times New Roman" w:cs="Times New Roman"/>
                <w:color w:val="000000"/>
                <w:sz w:val="20"/>
                <w:szCs w:val="20"/>
              </w:rPr>
              <w:t xml:space="preserve"> Oren, Alexandre (Sandy) </w:t>
            </w:r>
            <w:proofErr w:type="spellStart"/>
            <w:r w:rsidRPr="00414E6B">
              <w:rPr>
                <w:rFonts w:ascii="Times New Roman" w:eastAsia="Times New Roman" w:hAnsi="Times New Roman" w:cs="Times New Roman"/>
                <w:color w:val="000000"/>
                <w:sz w:val="20"/>
                <w:szCs w:val="20"/>
              </w:rPr>
              <w:t>Kedar</w:t>
            </w:r>
            <w:proofErr w:type="spellEnd"/>
            <w:r w:rsidRPr="00414E6B">
              <w:rPr>
                <w:rFonts w:ascii="Times New Roman" w:eastAsia="Times New Roman" w:hAnsi="Times New Roman" w:cs="Times New Roman"/>
                <w:color w:val="000000"/>
                <w:sz w:val="20"/>
                <w:szCs w:val="20"/>
              </w:rPr>
              <w:t xml:space="preserve"> and Ahmad Amara. "Reexamining the 'Dead Negev Doctrine': Property Rights in Arab Bedouin Regions." </w:t>
            </w:r>
            <w:proofErr w:type="spellStart"/>
            <w:r w:rsidRPr="00414E6B">
              <w:rPr>
                <w:rFonts w:ascii="Times New Roman" w:eastAsia="Times New Roman" w:hAnsi="Times New Roman" w:cs="Times New Roman"/>
                <w:i/>
                <w:iCs/>
                <w:color w:val="000000"/>
                <w:sz w:val="20"/>
                <w:szCs w:val="20"/>
              </w:rPr>
              <w:t>Mishpat</w:t>
            </w:r>
            <w:proofErr w:type="spellEnd"/>
            <w:r w:rsidRPr="00414E6B">
              <w:rPr>
                <w:rFonts w:ascii="Times New Roman" w:eastAsia="Times New Roman" w:hAnsi="Times New Roman" w:cs="Times New Roman"/>
                <w:i/>
                <w:iCs/>
                <w:color w:val="000000"/>
                <w:sz w:val="20"/>
                <w:szCs w:val="20"/>
              </w:rPr>
              <w:t xml:space="preserve"> </w:t>
            </w:r>
            <w:proofErr w:type="spellStart"/>
            <w:r w:rsidRPr="00414E6B">
              <w:rPr>
                <w:rFonts w:ascii="Times New Roman" w:eastAsia="Times New Roman" w:hAnsi="Times New Roman" w:cs="Times New Roman"/>
                <w:i/>
                <w:iCs/>
                <w:color w:val="000000"/>
                <w:sz w:val="20"/>
                <w:szCs w:val="20"/>
              </w:rPr>
              <w:t>Umimshal</w:t>
            </w:r>
            <w:proofErr w:type="spellEnd"/>
            <w:r w:rsidRPr="00414E6B">
              <w:rPr>
                <w:rFonts w:ascii="Times New Roman" w:eastAsia="Times New Roman" w:hAnsi="Times New Roman" w:cs="Times New Roman"/>
                <w:i/>
                <w:iCs/>
                <w:color w:val="000000"/>
                <w:sz w:val="20"/>
                <w:szCs w:val="20"/>
              </w:rPr>
              <w:t>: Law and Government in Israel (Haifa Law Review)</w:t>
            </w:r>
            <w:r w:rsidRPr="00414E6B">
              <w:rPr>
                <w:rFonts w:ascii="Times New Roman" w:eastAsia="Times New Roman" w:hAnsi="Times New Roman" w:cs="Times New Roman"/>
                <w:color w:val="000000"/>
                <w:sz w:val="20"/>
                <w:szCs w:val="20"/>
              </w:rPr>
              <w:t xml:space="preserve"> 14 (2012): 7-147 (Hebrew).</w:t>
            </w:r>
          </w:p>
        </w:tc>
      </w:tr>
      <w:tr w:rsidR="00414E6B" w:rsidRPr="00414E6B" w14:paraId="4C1C925D" w14:textId="77777777" w:rsidTr="00414E6B">
        <w:trPr>
          <w:trHeight w:val="280"/>
        </w:trPr>
        <w:tc>
          <w:tcPr>
            <w:tcW w:w="8635" w:type="dxa"/>
            <w:shd w:val="clear" w:color="auto" w:fill="auto"/>
            <w:noWrap/>
            <w:hideMark/>
          </w:tcPr>
          <w:p w14:paraId="6520131F" w14:textId="77777777" w:rsid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
          <w:p w14:paraId="1A8A70F8" w14:textId="77777777" w:rsidR="00414E6B" w:rsidRPr="00414E6B" w:rsidRDefault="00414E6B" w:rsidP="00414E6B">
            <w:pPr>
              <w:spacing w:after="0" w:line="240" w:lineRule="auto"/>
              <w:ind w:left="227" w:hanging="227"/>
              <w:jc w:val="both"/>
              <w:rPr>
                <w:rFonts w:ascii="Times New Roman" w:eastAsia="Times New Roman" w:hAnsi="Times New Roman" w:cs="Times New Roman"/>
                <w:color w:val="000000"/>
                <w:sz w:val="20"/>
                <w:szCs w:val="20"/>
              </w:rPr>
            </w:pPr>
            <w:proofErr w:type="spellStart"/>
            <w:r w:rsidRPr="00414E6B">
              <w:rPr>
                <w:rFonts w:ascii="Times New Roman" w:eastAsia="Times New Roman" w:hAnsi="Times New Roman" w:cs="Times New Roman"/>
                <w:color w:val="000000"/>
                <w:sz w:val="20"/>
                <w:szCs w:val="20"/>
              </w:rPr>
              <w:t>Yiftachel</w:t>
            </w:r>
            <w:proofErr w:type="spellEnd"/>
            <w:r w:rsidRPr="00414E6B">
              <w:rPr>
                <w:rFonts w:ascii="Times New Roman" w:eastAsia="Times New Roman" w:hAnsi="Times New Roman" w:cs="Times New Roman"/>
                <w:color w:val="000000"/>
                <w:sz w:val="20"/>
                <w:szCs w:val="20"/>
              </w:rPr>
              <w:t xml:space="preserve">, Oren, </w:t>
            </w:r>
            <w:proofErr w:type="spellStart"/>
            <w:r w:rsidRPr="00414E6B">
              <w:rPr>
                <w:rFonts w:ascii="Times New Roman" w:eastAsia="Times New Roman" w:hAnsi="Times New Roman" w:cs="Times New Roman"/>
                <w:color w:val="000000"/>
                <w:sz w:val="20"/>
                <w:szCs w:val="20"/>
              </w:rPr>
              <w:t>Batya</w:t>
            </w:r>
            <w:proofErr w:type="spellEnd"/>
            <w:r w:rsidRPr="00414E6B">
              <w:rPr>
                <w:rFonts w:ascii="Times New Roman" w:eastAsia="Times New Roman" w:hAnsi="Times New Roman" w:cs="Times New Roman"/>
                <w:color w:val="000000"/>
                <w:sz w:val="20"/>
                <w:szCs w:val="20"/>
              </w:rPr>
              <w:t xml:space="preserve"> </w:t>
            </w:r>
            <w:proofErr w:type="spellStart"/>
            <w:r w:rsidRPr="00414E6B">
              <w:rPr>
                <w:rFonts w:ascii="Times New Roman" w:eastAsia="Times New Roman" w:hAnsi="Times New Roman" w:cs="Times New Roman"/>
                <w:color w:val="000000"/>
                <w:sz w:val="20"/>
                <w:szCs w:val="20"/>
              </w:rPr>
              <w:t>Roded</w:t>
            </w:r>
            <w:proofErr w:type="spellEnd"/>
            <w:r w:rsidRPr="00414E6B">
              <w:rPr>
                <w:rFonts w:ascii="Times New Roman" w:eastAsia="Times New Roman" w:hAnsi="Times New Roman" w:cs="Times New Roman"/>
                <w:color w:val="000000"/>
                <w:sz w:val="20"/>
                <w:szCs w:val="20"/>
              </w:rPr>
              <w:t xml:space="preserve"> and Alexandre (Sandy) </w:t>
            </w:r>
            <w:proofErr w:type="spellStart"/>
            <w:r w:rsidRPr="00414E6B">
              <w:rPr>
                <w:rFonts w:ascii="Times New Roman" w:eastAsia="Times New Roman" w:hAnsi="Times New Roman" w:cs="Times New Roman"/>
                <w:color w:val="000000"/>
                <w:sz w:val="20"/>
                <w:szCs w:val="20"/>
              </w:rPr>
              <w:t>Kedar</w:t>
            </w:r>
            <w:proofErr w:type="spellEnd"/>
            <w:r w:rsidRPr="00414E6B">
              <w:rPr>
                <w:rFonts w:ascii="Times New Roman" w:eastAsia="Times New Roman" w:hAnsi="Times New Roman" w:cs="Times New Roman"/>
                <w:color w:val="000000"/>
                <w:sz w:val="20"/>
                <w:szCs w:val="20"/>
              </w:rPr>
              <w:t>. "Between Rights and Denials: Bedouin Indigeneity in the Negev/</w:t>
            </w:r>
            <w:proofErr w:type="spellStart"/>
            <w:r w:rsidRPr="00414E6B">
              <w:rPr>
                <w:rFonts w:ascii="Times New Roman" w:eastAsia="Times New Roman" w:hAnsi="Times New Roman" w:cs="Times New Roman"/>
                <w:color w:val="000000"/>
                <w:sz w:val="20"/>
                <w:szCs w:val="20"/>
              </w:rPr>
              <w:t>Naqab</w:t>
            </w:r>
            <w:proofErr w:type="spellEnd"/>
            <w:r w:rsidRPr="00414E6B">
              <w:rPr>
                <w:rFonts w:ascii="Times New Roman" w:eastAsia="Times New Roman" w:hAnsi="Times New Roman" w:cs="Times New Roman"/>
                <w:color w:val="000000"/>
                <w:sz w:val="20"/>
                <w:szCs w:val="20"/>
              </w:rPr>
              <w:t xml:space="preserve">." </w:t>
            </w:r>
            <w:r w:rsidRPr="00414E6B">
              <w:rPr>
                <w:rFonts w:ascii="Times New Roman" w:eastAsia="Times New Roman" w:hAnsi="Times New Roman" w:cs="Times New Roman"/>
                <w:i/>
                <w:iCs/>
                <w:color w:val="000000"/>
                <w:sz w:val="20"/>
                <w:szCs w:val="20"/>
              </w:rPr>
              <w:t>Environment and Planning A: Economy and Space</w:t>
            </w:r>
            <w:r w:rsidRPr="00414E6B">
              <w:rPr>
                <w:rFonts w:ascii="Times New Roman" w:eastAsia="Times New Roman" w:hAnsi="Times New Roman" w:cs="Times New Roman"/>
                <w:color w:val="000000"/>
                <w:sz w:val="20"/>
                <w:szCs w:val="20"/>
              </w:rPr>
              <w:t xml:space="preserve"> 48(11) (2016): 2129-2161.</w:t>
            </w:r>
          </w:p>
        </w:tc>
      </w:tr>
    </w:tbl>
    <w:p w14:paraId="7F27E36E" w14:textId="77777777" w:rsidR="004C393D" w:rsidRPr="00147458" w:rsidRDefault="004C393D" w:rsidP="00452907">
      <w:pPr>
        <w:rPr>
          <w:rFonts w:asciiTheme="majorBidi" w:hAnsiTheme="majorBidi" w:cstheme="majorBidi"/>
          <w:sz w:val="20"/>
          <w:szCs w:val="20"/>
        </w:rPr>
      </w:pPr>
    </w:p>
    <w:sectPr w:rsidR="004C393D" w:rsidRPr="00147458" w:rsidSect="009F460E">
      <w:footerReference w:type="default" r:id="rId7"/>
      <w:pgSz w:w="11906" w:h="16838"/>
      <w:pgMar w:top="1440" w:right="1800" w:bottom="1440" w:left="1800" w:header="1701" w:footer="14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38C6" w14:textId="77777777" w:rsidR="00F72D03" w:rsidRDefault="00F72D03" w:rsidP="00372782">
      <w:pPr>
        <w:spacing w:after="0" w:line="240" w:lineRule="auto"/>
      </w:pPr>
      <w:r>
        <w:separator/>
      </w:r>
    </w:p>
  </w:endnote>
  <w:endnote w:type="continuationSeparator" w:id="0">
    <w:p w14:paraId="3583C2A5" w14:textId="77777777" w:rsidR="00F72D03" w:rsidRDefault="00F72D03"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269086"/>
      <w:docPartObj>
        <w:docPartGallery w:val="Page Numbers (Bottom of Page)"/>
        <w:docPartUnique/>
      </w:docPartObj>
    </w:sdtPr>
    <w:sdtEndPr>
      <w:rPr>
        <w:cs/>
      </w:rPr>
    </w:sdtEndPr>
    <w:sdtContent>
      <w:p w14:paraId="65806E4A" w14:textId="77777777" w:rsidR="009F460E" w:rsidRDefault="009F460E">
        <w:pPr>
          <w:pStyle w:val="a6"/>
          <w:jc w:val="center"/>
          <w:rPr>
            <w:rFonts w:asciiTheme="majorBidi" w:hAnsiTheme="majorBidi" w:cstheme="majorBidi"/>
            <w:sz w:val="20"/>
            <w:szCs w:val="20"/>
          </w:rPr>
        </w:pPr>
      </w:p>
      <w:p w14:paraId="11802B12" w14:textId="24F4FC51"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C21196" w:rsidRPr="00C21196">
          <w:rPr>
            <w:rFonts w:asciiTheme="majorBidi" w:hAnsiTheme="majorBidi" w:cs="Times New Roman"/>
            <w:noProof/>
            <w:sz w:val="20"/>
            <w:szCs w:val="20"/>
            <w:lang w:val="he-IL"/>
          </w:rPr>
          <w:t>2</w:t>
        </w:r>
        <w:r w:rsidRPr="00372782">
          <w:rPr>
            <w:rFonts w:asciiTheme="majorBidi" w:hAnsiTheme="majorBidi" w:cstheme="majorBidi"/>
            <w:sz w:val="20"/>
            <w:szCs w:val="20"/>
          </w:rPr>
          <w:fldChar w:fldCharType="end"/>
        </w:r>
      </w:p>
    </w:sdtContent>
  </w:sdt>
  <w:p w14:paraId="7D011259" w14:textId="77777777" w:rsidR="00317C78" w:rsidRDefault="00317C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E51B" w14:textId="77777777" w:rsidR="00F72D03" w:rsidRDefault="00F72D03" w:rsidP="00372782">
      <w:pPr>
        <w:spacing w:after="0" w:line="240" w:lineRule="auto"/>
      </w:pPr>
      <w:r>
        <w:separator/>
      </w:r>
    </w:p>
  </w:footnote>
  <w:footnote w:type="continuationSeparator" w:id="0">
    <w:p w14:paraId="3B47118E" w14:textId="77777777" w:rsidR="00F72D03" w:rsidRDefault="00F72D03" w:rsidP="00372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6C22"/>
    <w:rsid w:val="000179CC"/>
    <w:rsid w:val="00017ABB"/>
    <w:rsid w:val="00023780"/>
    <w:rsid w:val="000242EC"/>
    <w:rsid w:val="00027A01"/>
    <w:rsid w:val="00032000"/>
    <w:rsid w:val="00032130"/>
    <w:rsid w:val="000342C4"/>
    <w:rsid w:val="00034AFB"/>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458"/>
    <w:rsid w:val="00147ABC"/>
    <w:rsid w:val="00147B48"/>
    <w:rsid w:val="001506FC"/>
    <w:rsid w:val="00151942"/>
    <w:rsid w:val="00152933"/>
    <w:rsid w:val="00154C07"/>
    <w:rsid w:val="00155A96"/>
    <w:rsid w:val="00156893"/>
    <w:rsid w:val="001572E1"/>
    <w:rsid w:val="0016042C"/>
    <w:rsid w:val="00161AEB"/>
    <w:rsid w:val="0016323D"/>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C3F8B"/>
    <w:rsid w:val="001C5DCA"/>
    <w:rsid w:val="001C67C5"/>
    <w:rsid w:val="001D08EF"/>
    <w:rsid w:val="001D17A0"/>
    <w:rsid w:val="001D62E7"/>
    <w:rsid w:val="001D76AE"/>
    <w:rsid w:val="001E05CE"/>
    <w:rsid w:val="001E0ACF"/>
    <w:rsid w:val="001E1499"/>
    <w:rsid w:val="001E2B2F"/>
    <w:rsid w:val="001E3430"/>
    <w:rsid w:val="001E4874"/>
    <w:rsid w:val="001E6972"/>
    <w:rsid w:val="001F00C8"/>
    <w:rsid w:val="001F18E2"/>
    <w:rsid w:val="001F1C41"/>
    <w:rsid w:val="001F2B38"/>
    <w:rsid w:val="001F67F0"/>
    <w:rsid w:val="001F7AFE"/>
    <w:rsid w:val="002016F1"/>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36411"/>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4E6B"/>
    <w:rsid w:val="00415190"/>
    <w:rsid w:val="0041527D"/>
    <w:rsid w:val="004154CA"/>
    <w:rsid w:val="0041552F"/>
    <w:rsid w:val="0042003F"/>
    <w:rsid w:val="00422C11"/>
    <w:rsid w:val="0042695E"/>
    <w:rsid w:val="00427ECE"/>
    <w:rsid w:val="004333F1"/>
    <w:rsid w:val="004355E5"/>
    <w:rsid w:val="0043635C"/>
    <w:rsid w:val="00440B75"/>
    <w:rsid w:val="00441C58"/>
    <w:rsid w:val="0044202E"/>
    <w:rsid w:val="00442BDF"/>
    <w:rsid w:val="00443D50"/>
    <w:rsid w:val="00445267"/>
    <w:rsid w:val="00446ED0"/>
    <w:rsid w:val="00450D24"/>
    <w:rsid w:val="00452808"/>
    <w:rsid w:val="00452907"/>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B8E"/>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2E6A"/>
    <w:rsid w:val="00564B25"/>
    <w:rsid w:val="00567391"/>
    <w:rsid w:val="005707BE"/>
    <w:rsid w:val="00571216"/>
    <w:rsid w:val="005753DC"/>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DA7"/>
    <w:rsid w:val="006E1121"/>
    <w:rsid w:val="006E2951"/>
    <w:rsid w:val="006E29CA"/>
    <w:rsid w:val="006E570E"/>
    <w:rsid w:val="006E7EF1"/>
    <w:rsid w:val="006F0444"/>
    <w:rsid w:val="006F3196"/>
    <w:rsid w:val="006F49F2"/>
    <w:rsid w:val="006F6D37"/>
    <w:rsid w:val="007002A4"/>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5102"/>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97048"/>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0841"/>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2E8"/>
    <w:rsid w:val="009F460E"/>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B00DE"/>
    <w:rsid w:val="00AB100F"/>
    <w:rsid w:val="00AB3D55"/>
    <w:rsid w:val="00AB3D5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1196"/>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78BD"/>
    <w:rsid w:val="00CC40CE"/>
    <w:rsid w:val="00CC618A"/>
    <w:rsid w:val="00CD10B3"/>
    <w:rsid w:val="00CD1473"/>
    <w:rsid w:val="00CD4210"/>
    <w:rsid w:val="00CD603A"/>
    <w:rsid w:val="00CD6AB3"/>
    <w:rsid w:val="00CD6CD9"/>
    <w:rsid w:val="00CD70C1"/>
    <w:rsid w:val="00CE148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302F"/>
    <w:rsid w:val="00D1431A"/>
    <w:rsid w:val="00D161E8"/>
    <w:rsid w:val="00D162CC"/>
    <w:rsid w:val="00D16675"/>
    <w:rsid w:val="00D203BE"/>
    <w:rsid w:val="00D210CB"/>
    <w:rsid w:val="00D22739"/>
    <w:rsid w:val="00D22C2E"/>
    <w:rsid w:val="00D22EE7"/>
    <w:rsid w:val="00D2368B"/>
    <w:rsid w:val="00D239C4"/>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6FDF"/>
    <w:rsid w:val="00DB70BA"/>
    <w:rsid w:val="00DB7691"/>
    <w:rsid w:val="00DC1AD0"/>
    <w:rsid w:val="00DC27AB"/>
    <w:rsid w:val="00DC3107"/>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9F0"/>
    <w:rsid w:val="00DE7E1C"/>
    <w:rsid w:val="00DF7A54"/>
    <w:rsid w:val="00E0030A"/>
    <w:rsid w:val="00E0118D"/>
    <w:rsid w:val="00E01C3F"/>
    <w:rsid w:val="00E04864"/>
    <w:rsid w:val="00E05D30"/>
    <w:rsid w:val="00E060BC"/>
    <w:rsid w:val="00E078EF"/>
    <w:rsid w:val="00E10671"/>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51124"/>
    <w:rsid w:val="00E51356"/>
    <w:rsid w:val="00E51807"/>
    <w:rsid w:val="00E51F90"/>
    <w:rsid w:val="00E52B15"/>
    <w:rsid w:val="00E52D93"/>
    <w:rsid w:val="00E5369F"/>
    <w:rsid w:val="00E57DBE"/>
    <w:rsid w:val="00E62C40"/>
    <w:rsid w:val="00E6332C"/>
    <w:rsid w:val="00E635E0"/>
    <w:rsid w:val="00E63630"/>
    <w:rsid w:val="00E63D86"/>
    <w:rsid w:val="00E6415F"/>
    <w:rsid w:val="00E740F8"/>
    <w:rsid w:val="00E75791"/>
    <w:rsid w:val="00E82700"/>
    <w:rsid w:val="00E84B67"/>
    <w:rsid w:val="00E85426"/>
    <w:rsid w:val="00E866FB"/>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2D03"/>
    <w:rsid w:val="00F74B77"/>
    <w:rsid w:val="00F75EAF"/>
    <w:rsid w:val="00F76164"/>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D93B"/>
  <w15:docId w15:val="{54AD06E4-0CFB-448E-BAD1-A5E3ABC2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218640094">
      <w:bodyDiv w:val="1"/>
      <w:marLeft w:val="0"/>
      <w:marRight w:val="0"/>
      <w:marTop w:val="0"/>
      <w:marBottom w:val="0"/>
      <w:divBdr>
        <w:top w:val="none" w:sz="0" w:space="0" w:color="auto"/>
        <w:left w:val="none" w:sz="0" w:space="0" w:color="auto"/>
        <w:bottom w:val="none" w:sz="0" w:space="0" w:color="auto"/>
        <w:right w:val="none" w:sz="0" w:space="0" w:color="auto"/>
      </w:divBdr>
    </w:div>
    <w:div w:id="241329544">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2327861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25250386">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392314948">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777631107">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79195946">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1910309594">
      <w:bodyDiv w:val="1"/>
      <w:marLeft w:val="0"/>
      <w:marRight w:val="0"/>
      <w:marTop w:val="0"/>
      <w:marBottom w:val="0"/>
      <w:divBdr>
        <w:top w:val="none" w:sz="0" w:space="0" w:color="auto"/>
        <w:left w:val="none" w:sz="0" w:space="0" w:color="auto"/>
        <w:bottom w:val="none" w:sz="0" w:space="0" w:color="auto"/>
        <w:right w:val="none" w:sz="0" w:space="0" w:color="auto"/>
      </w:divBdr>
    </w:div>
    <w:div w:id="193720441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9672-3E50-4C26-85D4-E76333D7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1660</Words>
  <Characters>8304</Characters>
  <Application>Microsoft Office Word</Application>
  <DocSecurity>0</DocSecurity>
  <Lines>69</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Tamir Gur</cp:lastModifiedBy>
  <cp:revision>14</cp:revision>
  <dcterms:created xsi:type="dcterms:W3CDTF">2017-05-12T14:18:00Z</dcterms:created>
  <dcterms:modified xsi:type="dcterms:W3CDTF">2020-09-10T07:44:00Z</dcterms:modified>
</cp:coreProperties>
</file>