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29" w:rsidRPr="00DC3C33" w:rsidRDefault="006E7EF1" w:rsidP="006E0426">
      <w:pPr>
        <w:spacing w:after="0" w:line="240" w:lineRule="auto"/>
        <w:ind w:left="227" w:hanging="227"/>
        <w:jc w:val="both"/>
        <w:rPr>
          <w:rFonts w:asciiTheme="majorBidi" w:hAnsiTheme="majorBidi" w:cstheme="majorBidi"/>
        </w:rPr>
      </w:pPr>
      <w:r w:rsidRPr="00DC3C33">
        <w:rPr>
          <w:rFonts w:asciiTheme="majorBidi" w:hAnsiTheme="majorBidi" w:cstheme="majorBidi"/>
          <w:b/>
          <w:bCs/>
        </w:rPr>
        <w:t xml:space="preserve">Law in Palestine </w:t>
      </w:r>
      <w:proofErr w:type="gramStart"/>
      <w:r w:rsidR="006E0426">
        <w:rPr>
          <w:rFonts w:asciiTheme="majorBidi" w:hAnsiTheme="majorBidi" w:cstheme="majorBidi"/>
          <w:b/>
          <w:bCs/>
        </w:rPr>
        <w:t>D</w:t>
      </w:r>
      <w:r w:rsidRPr="00DC3C33">
        <w:rPr>
          <w:rFonts w:asciiTheme="majorBidi" w:hAnsiTheme="majorBidi" w:cstheme="majorBidi"/>
          <w:b/>
          <w:bCs/>
        </w:rPr>
        <w:t>uring</w:t>
      </w:r>
      <w:proofErr w:type="gramEnd"/>
      <w:r w:rsidRPr="00DC3C33">
        <w:rPr>
          <w:rFonts w:asciiTheme="majorBidi" w:hAnsiTheme="majorBidi" w:cstheme="majorBidi"/>
          <w:b/>
          <w:bCs/>
        </w:rPr>
        <w:t xml:space="preserve"> the Late Ottoman Period</w:t>
      </w:r>
    </w:p>
    <w:p w:rsidR="00D01EEE" w:rsidRPr="00DC3C33" w:rsidRDefault="00D01EEE" w:rsidP="00D01EEE">
      <w:pPr>
        <w:spacing w:after="0" w:line="240" w:lineRule="auto"/>
        <w:ind w:left="227" w:hanging="227"/>
        <w:jc w:val="both"/>
        <w:rPr>
          <w:rFonts w:asciiTheme="majorBidi" w:hAnsiTheme="majorBidi" w:cstheme="majorBidi"/>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Agmon</w:t>
            </w:r>
            <w:proofErr w:type="spellEnd"/>
            <w:r w:rsidRPr="00AB45D7">
              <w:rPr>
                <w:rFonts w:asciiTheme="majorBidi" w:hAnsiTheme="majorBidi" w:cstheme="majorBidi"/>
                <w:sz w:val="20"/>
                <w:szCs w:val="20"/>
              </w:rPr>
              <w:t xml:space="preserve">, Iris. "Late-Ottoman Legal Reforms and the </w:t>
            </w:r>
            <w:proofErr w:type="spellStart"/>
            <w:r w:rsidRPr="00AB45D7">
              <w:rPr>
                <w:rFonts w:asciiTheme="majorBidi" w:hAnsiTheme="majorBidi" w:cstheme="majorBidi"/>
                <w:sz w:val="20"/>
                <w:szCs w:val="20"/>
              </w:rPr>
              <w:t>Shari'a</w:t>
            </w:r>
            <w:proofErr w:type="spellEnd"/>
            <w:r w:rsidRPr="00AB45D7">
              <w:rPr>
                <w:rFonts w:asciiTheme="majorBidi" w:hAnsiTheme="majorBidi" w:cstheme="majorBidi"/>
                <w:sz w:val="20"/>
                <w:szCs w:val="20"/>
              </w:rPr>
              <w:t xml:space="preserve"> Courts: A Few Comments on Women, Gender and Family." In </w:t>
            </w:r>
            <w:proofErr w:type="spellStart"/>
            <w:r w:rsidRPr="00AB45D7">
              <w:rPr>
                <w:rFonts w:asciiTheme="majorBidi" w:hAnsiTheme="majorBidi" w:cstheme="majorBidi"/>
                <w:sz w:val="20"/>
                <w:szCs w:val="20"/>
              </w:rPr>
              <w:t>Eyal</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Katvan</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Margalit</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Shilo</w:t>
            </w:r>
            <w:proofErr w:type="spellEnd"/>
            <w:r w:rsidRPr="00AB45D7">
              <w:rPr>
                <w:rFonts w:asciiTheme="majorBidi" w:hAnsiTheme="majorBidi" w:cstheme="majorBidi"/>
                <w:sz w:val="20"/>
                <w:szCs w:val="20"/>
              </w:rPr>
              <w:t xml:space="preserve"> and Ruth </w:t>
            </w:r>
            <w:proofErr w:type="spellStart"/>
            <w:r w:rsidRPr="00AB45D7">
              <w:rPr>
                <w:rFonts w:asciiTheme="majorBidi" w:hAnsiTheme="majorBidi" w:cstheme="majorBidi"/>
                <w:sz w:val="20"/>
                <w:szCs w:val="20"/>
              </w:rPr>
              <w:t>Halperin-Kaddari</w:t>
            </w:r>
            <w:proofErr w:type="spellEnd"/>
            <w:r w:rsidRPr="00AB45D7">
              <w:rPr>
                <w:rFonts w:asciiTheme="majorBidi" w:hAnsiTheme="majorBidi" w:cstheme="majorBidi"/>
                <w:sz w:val="20"/>
                <w:szCs w:val="20"/>
              </w:rPr>
              <w:t xml:space="preserve"> eds. </w:t>
            </w:r>
            <w:r w:rsidRPr="00AB45D7">
              <w:rPr>
                <w:rFonts w:asciiTheme="majorBidi" w:hAnsiTheme="majorBidi" w:cstheme="majorBidi"/>
                <w:i/>
                <w:iCs/>
                <w:sz w:val="20"/>
                <w:szCs w:val="20"/>
              </w:rPr>
              <w:t>One Law for Man and Woman: Women, Rights and Law in Mandatory Palestine</w:t>
            </w:r>
            <w:r w:rsidRPr="00AB45D7">
              <w:rPr>
                <w:rFonts w:asciiTheme="majorBidi" w:hAnsiTheme="majorBidi" w:cstheme="majorBidi"/>
                <w:sz w:val="20"/>
                <w:szCs w:val="20"/>
              </w:rPr>
              <w:t>. Ramat-</w:t>
            </w:r>
            <w:proofErr w:type="spellStart"/>
            <w:r w:rsidRPr="00AB45D7">
              <w:rPr>
                <w:rFonts w:asciiTheme="majorBidi" w:hAnsiTheme="majorBidi" w:cstheme="majorBidi"/>
                <w:sz w:val="20"/>
                <w:szCs w:val="20"/>
              </w:rPr>
              <w:t>Gan</w:t>
            </w:r>
            <w:proofErr w:type="spellEnd"/>
            <w:r w:rsidRPr="00AB45D7">
              <w:rPr>
                <w:rFonts w:asciiTheme="majorBidi" w:hAnsiTheme="majorBidi" w:cstheme="majorBidi"/>
                <w:sz w:val="20"/>
                <w:szCs w:val="20"/>
              </w:rPr>
              <w:t>: Bar-</w:t>
            </w:r>
            <w:proofErr w:type="spellStart"/>
            <w:r w:rsidRPr="00AB45D7">
              <w:rPr>
                <w:rFonts w:asciiTheme="majorBidi" w:hAnsiTheme="majorBidi" w:cstheme="majorBidi"/>
                <w:sz w:val="20"/>
                <w:szCs w:val="20"/>
              </w:rPr>
              <w:t>Ilan</w:t>
            </w:r>
            <w:proofErr w:type="spellEnd"/>
            <w:r w:rsidRPr="00AB45D7">
              <w:rPr>
                <w:rFonts w:asciiTheme="majorBidi" w:hAnsiTheme="majorBidi" w:cstheme="majorBidi"/>
                <w:sz w:val="20"/>
                <w:szCs w:val="20"/>
              </w:rPr>
              <w:t xml:space="preserve"> University Press (2010): 117-149 (Hebrew). </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"Gender and Social Change: The </w:t>
            </w:r>
            <w:proofErr w:type="spellStart"/>
            <w:r w:rsidRPr="00AB45D7">
              <w:rPr>
                <w:rFonts w:asciiTheme="majorBidi" w:hAnsiTheme="majorBidi" w:cstheme="majorBidi"/>
                <w:sz w:val="20"/>
                <w:szCs w:val="20"/>
              </w:rPr>
              <w:t>Shari‘a</w:t>
            </w:r>
            <w:proofErr w:type="spellEnd"/>
            <w:r w:rsidRPr="00AB45D7">
              <w:rPr>
                <w:rFonts w:asciiTheme="majorBidi" w:hAnsiTheme="majorBidi" w:cstheme="majorBidi"/>
                <w:sz w:val="20"/>
                <w:szCs w:val="20"/>
              </w:rPr>
              <w:t xml:space="preserve"> Court and the Orphan Funds in Late Ottoman Jaffa and Haifa." In Ruth </w:t>
            </w:r>
            <w:proofErr w:type="spellStart"/>
            <w:r w:rsidRPr="00AB45D7">
              <w:rPr>
                <w:rFonts w:asciiTheme="majorBidi" w:hAnsiTheme="majorBidi" w:cstheme="majorBidi"/>
                <w:sz w:val="20"/>
                <w:szCs w:val="20"/>
              </w:rPr>
              <w:t>Roded</w:t>
            </w:r>
            <w:proofErr w:type="spellEnd"/>
            <w:r w:rsidRPr="00AB45D7">
              <w:rPr>
                <w:rFonts w:asciiTheme="majorBidi" w:hAnsiTheme="majorBidi" w:cstheme="majorBidi"/>
                <w:sz w:val="20"/>
                <w:szCs w:val="20"/>
              </w:rPr>
              <w:t xml:space="preserve"> and </w:t>
            </w:r>
            <w:proofErr w:type="spellStart"/>
            <w:r w:rsidRPr="00AB45D7">
              <w:rPr>
                <w:rFonts w:asciiTheme="majorBidi" w:hAnsiTheme="majorBidi" w:cstheme="majorBidi"/>
                <w:sz w:val="20"/>
                <w:szCs w:val="20"/>
              </w:rPr>
              <w:t>Noga</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Efrati</w:t>
            </w:r>
            <w:proofErr w:type="spellEnd"/>
            <w:r w:rsidRPr="00AB45D7">
              <w:rPr>
                <w:rFonts w:asciiTheme="majorBidi" w:hAnsiTheme="majorBidi" w:cstheme="majorBidi"/>
                <w:sz w:val="20"/>
                <w:szCs w:val="20"/>
              </w:rPr>
              <w:t xml:space="preserve"> eds. </w:t>
            </w:r>
            <w:r w:rsidRPr="00AB45D7">
              <w:rPr>
                <w:rFonts w:asciiTheme="majorBidi" w:hAnsiTheme="majorBidi" w:cstheme="majorBidi"/>
                <w:i/>
                <w:iCs/>
                <w:sz w:val="20"/>
                <w:szCs w:val="20"/>
              </w:rPr>
              <w:t>Women and Gender in the Middle East in the Twentieth Century</w:t>
            </w:r>
            <w:r w:rsidRPr="00AB45D7">
              <w:rPr>
                <w:rFonts w:asciiTheme="majorBidi" w:hAnsiTheme="majorBidi" w:cstheme="majorBidi"/>
                <w:sz w:val="20"/>
                <w:szCs w:val="20"/>
              </w:rPr>
              <w:t xml:space="preserve">. Jerusalem: The Hebrew University </w:t>
            </w:r>
            <w:proofErr w:type="spellStart"/>
            <w:r w:rsidRPr="00AB45D7">
              <w:rPr>
                <w:rFonts w:asciiTheme="majorBidi" w:hAnsiTheme="majorBidi" w:cstheme="majorBidi"/>
                <w:sz w:val="20"/>
                <w:szCs w:val="20"/>
              </w:rPr>
              <w:t>Magnes</w:t>
            </w:r>
            <w:proofErr w:type="spellEnd"/>
            <w:r w:rsidRPr="00AB45D7">
              <w:rPr>
                <w:rFonts w:asciiTheme="majorBidi" w:hAnsiTheme="majorBidi" w:cstheme="majorBidi"/>
                <w:sz w:val="20"/>
                <w:szCs w:val="20"/>
              </w:rPr>
              <w:t xml:space="preserve"> Press (2008): 53-70 (Hebrew). </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AB45D7">
              <w:rPr>
                <w:rFonts w:asciiTheme="majorBidi" w:hAnsiTheme="majorBidi" w:cstheme="majorBidi"/>
                <w:i/>
                <w:iCs/>
                <w:sz w:val="20"/>
                <w:szCs w:val="20"/>
              </w:rPr>
              <w:t>Family and Court: Legal Culture and Modernity in Late Ottoman Palestine</w:t>
            </w:r>
            <w:r w:rsidRPr="00AB45D7">
              <w:rPr>
                <w:rFonts w:asciiTheme="majorBidi" w:hAnsiTheme="majorBidi" w:cstheme="majorBidi"/>
                <w:sz w:val="20"/>
                <w:szCs w:val="20"/>
              </w:rPr>
              <w:t xml:space="preserve">. Syracuse: Syracuse University Press (2006). </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"Recording Procedures and Legal Culture in the Late Ottoman </w:t>
            </w:r>
            <w:proofErr w:type="spellStart"/>
            <w:r w:rsidRPr="00AB45D7">
              <w:rPr>
                <w:rFonts w:asciiTheme="majorBidi" w:hAnsiTheme="majorBidi" w:cstheme="majorBidi"/>
                <w:sz w:val="20"/>
                <w:szCs w:val="20"/>
              </w:rPr>
              <w:t>Shari'a</w:t>
            </w:r>
            <w:proofErr w:type="spellEnd"/>
            <w:r w:rsidRPr="00AB45D7">
              <w:rPr>
                <w:rFonts w:asciiTheme="majorBidi" w:hAnsiTheme="majorBidi" w:cstheme="majorBidi"/>
                <w:sz w:val="20"/>
                <w:szCs w:val="20"/>
              </w:rPr>
              <w:t xml:space="preserve"> Court of Jaffa, 1865-1890." </w:t>
            </w:r>
            <w:r w:rsidRPr="00AB45D7">
              <w:rPr>
                <w:rFonts w:asciiTheme="majorBidi" w:hAnsiTheme="majorBidi" w:cstheme="majorBidi"/>
                <w:i/>
                <w:iCs/>
                <w:sz w:val="20"/>
                <w:szCs w:val="20"/>
              </w:rPr>
              <w:t>Islamic Law and Society</w:t>
            </w:r>
            <w:r w:rsidRPr="00AB45D7">
              <w:rPr>
                <w:rFonts w:asciiTheme="majorBidi" w:hAnsiTheme="majorBidi" w:cstheme="majorBidi"/>
                <w:sz w:val="20"/>
                <w:szCs w:val="20"/>
              </w:rPr>
              <w:t xml:space="preserve"> 11(3) (2004): 333-377.</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AB45D7">
              <w:rPr>
                <w:rFonts w:asciiTheme="majorBidi" w:hAnsiTheme="majorBidi" w:cstheme="majorBidi"/>
                <w:sz w:val="20"/>
                <w:szCs w:val="20"/>
              </w:rPr>
              <w:t xml:space="preserve">"Social Biography of a Late Ottoman </w:t>
            </w:r>
            <w:proofErr w:type="spellStart"/>
            <w:r w:rsidRPr="00AB45D7">
              <w:rPr>
                <w:rFonts w:asciiTheme="majorBidi" w:hAnsiTheme="majorBidi" w:cstheme="majorBidi"/>
                <w:sz w:val="20"/>
                <w:szCs w:val="20"/>
              </w:rPr>
              <w:t>Shari'a</w:t>
            </w:r>
            <w:proofErr w:type="spellEnd"/>
            <w:r w:rsidRPr="00AB45D7">
              <w:rPr>
                <w:rFonts w:asciiTheme="majorBidi" w:hAnsiTheme="majorBidi" w:cstheme="majorBidi"/>
                <w:sz w:val="20"/>
                <w:szCs w:val="20"/>
              </w:rPr>
              <w:t xml:space="preserve"> Judge." </w:t>
            </w:r>
            <w:r w:rsidRPr="00AB45D7">
              <w:rPr>
                <w:rFonts w:asciiTheme="majorBidi" w:hAnsiTheme="majorBidi" w:cstheme="majorBidi"/>
                <w:i/>
                <w:iCs/>
                <w:sz w:val="20"/>
                <w:szCs w:val="20"/>
              </w:rPr>
              <w:t>New Perspectives on Turkey</w:t>
            </w:r>
            <w:r w:rsidRPr="00AB45D7">
              <w:rPr>
                <w:rFonts w:asciiTheme="majorBidi" w:hAnsiTheme="majorBidi" w:cstheme="majorBidi"/>
                <w:sz w:val="20"/>
                <w:szCs w:val="20"/>
              </w:rPr>
              <w:t xml:space="preserve"> 30 (2004): 83-113.</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AB45D7">
              <w:rPr>
                <w:rFonts w:asciiTheme="majorBidi" w:hAnsiTheme="majorBidi" w:cstheme="majorBidi"/>
                <w:sz w:val="20"/>
                <w:szCs w:val="20"/>
              </w:rPr>
              <w:t xml:space="preserve">"Women's History and Ottoman Sharia Court Records: Shifting Perspectives in Social History." </w:t>
            </w:r>
            <w:r w:rsidRPr="00AB45D7">
              <w:rPr>
                <w:rFonts w:asciiTheme="majorBidi" w:hAnsiTheme="majorBidi" w:cstheme="majorBidi"/>
                <w:i/>
                <w:iCs/>
                <w:sz w:val="20"/>
                <w:szCs w:val="20"/>
              </w:rPr>
              <w:t>Journal of Women of the Middle East and the Islamic World</w:t>
            </w:r>
            <w:r w:rsidRPr="00AB45D7">
              <w:rPr>
                <w:rFonts w:asciiTheme="majorBidi" w:hAnsiTheme="majorBidi" w:cstheme="majorBidi"/>
                <w:sz w:val="20"/>
                <w:szCs w:val="20"/>
              </w:rPr>
              <w:t xml:space="preserve"> 2(2) (2004): 172-209.</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AB45D7">
              <w:rPr>
                <w:rFonts w:asciiTheme="majorBidi" w:hAnsiTheme="majorBidi" w:cstheme="majorBidi"/>
                <w:sz w:val="20"/>
                <w:szCs w:val="20"/>
              </w:rPr>
              <w:t>"Text, Court, and Family in Late-Nineteenth-Century Palestine." In </w:t>
            </w:r>
            <w:proofErr w:type="spellStart"/>
            <w:r w:rsidRPr="00AB45D7">
              <w:rPr>
                <w:rFonts w:asciiTheme="majorBidi" w:hAnsiTheme="majorBidi" w:cstheme="majorBidi"/>
                <w:sz w:val="20"/>
                <w:szCs w:val="20"/>
              </w:rPr>
              <w:t>Beshara</w:t>
            </w:r>
            <w:proofErr w:type="spellEnd"/>
            <w:r w:rsidRPr="00AB45D7">
              <w:rPr>
                <w:rFonts w:asciiTheme="majorBidi" w:hAnsiTheme="majorBidi" w:cstheme="majorBidi"/>
                <w:sz w:val="20"/>
                <w:szCs w:val="20"/>
              </w:rPr>
              <w:t xml:space="preserve"> Doumani ed. </w:t>
            </w:r>
            <w:r w:rsidRPr="00AB45D7">
              <w:rPr>
                <w:rFonts w:asciiTheme="majorBidi" w:hAnsiTheme="majorBidi" w:cstheme="majorBidi"/>
                <w:i/>
                <w:iCs/>
                <w:sz w:val="20"/>
                <w:szCs w:val="20"/>
              </w:rPr>
              <w:t>Family History in the Middle East: Household, Property and Gender</w:t>
            </w:r>
            <w:r w:rsidRPr="00AB45D7">
              <w:rPr>
                <w:rFonts w:asciiTheme="majorBidi" w:hAnsiTheme="majorBidi" w:cstheme="majorBidi"/>
                <w:sz w:val="20"/>
                <w:szCs w:val="20"/>
              </w:rPr>
              <w:t>. Albany: State University of New York Press (2003): 201-228.</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"Women, Class, and Gender: Muslim Jaffa and Haifa at the Turn of the 20th Century." </w:t>
            </w:r>
            <w:r w:rsidRPr="00AB45D7">
              <w:rPr>
                <w:rFonts w:asciiTheme="majorBidi" w:hAnsiTheme="majorBidi" w:cstheme="majorBidi"/>
                <w:i/>
                <w:iCs/>
                <w:sz w:val="20"/>
                <w:szCs w:val="20"/>
              </w:rPr>
              <w:t>International Journal of Middle East Studies</w:t>
            </w:r>
            <w:r w:rsidRPr="00AB45D7">
              <w:rPr>
                <w:rFonts w:asciiTheme="majorBidi" w:hAnsiTheme="majorBidi" w:cstheme="majorBidi"/>
                <w:sz w:val="20"/>
                <w:szCs w:val="20"/>
              </w:rPr>
              <w:t xml:space="preserve"> 30 (1998): 477-500. </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"Muslim Women in Court According to the </w:t>
            </w:r>
            <w:proofErr w:type="spellStart"/>
            <w:r w:rsidRPr="00AB45D7">
              <w:rPr>
                <w:rFonts w:asciiTheme="majorBidi" w:hAnsiTheme="majorBidi" w:cstheme="majorBidi"/>
                <w:sz w:val="20"/>
                <w:szCs w:val="20"/>
              </w:rPr>
              <w:t>Sijill</w:t>
            </w:r>
            <w:proofErr w:type="spellEnd"/>
            <w:r w:rsidRPr="00AB45D7">
              <w:rPr>
                <w:rFonts w:asciiTheme="majorBidi" w:hAnsiTheme="majorBidi" w:cstheme="majorBidi"/>
                <w:sz w:val="20"/>
                <w:szCs w:val="20"/>
              </w:rPr>
              <w:t xml:space="preserve"> of Late Ottoman Jaffa and Haifa: Some Methodological Notes." In Amira El-</w:t>
            </w:r>
            <w:proofErr w:type="spellStart"/>
            <w:r w:rsidRPr="00AB45D7">
              <w:rPr>
                <w:rFonts w:asciiTheme="majorBidi" w:hAnsiTheme="majorBidi" w:cstheme="majorBidi"/>
                <w:sz w:val="20"/>
                <w:szCs w:val="20"/>
              </w:rPr>
              <w:t>Azhary</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Sonbol</w:t>
            </w:r>
            <w:proofErr w:type="spellEnd"/>
            <w:r w:rsidRPr="00AB45D7">
              <w:rPr>
                <w:rFonts w:asciiTheme="majorBidi" w:hAnsiTheme="majorBidi" w:cstheme="majorBidi"/>
                <w:sz w:val="20"/>
                <w:szCs w:val="20"/>
              </w:rPr>
              <w:t xml:space="preserve"> ed. </w:t>
            </w:r>
            <w:r w:rsidRPr="00AB45D7">
              <w:rPr>
                <w:rFonts w:asciiTheme="majorBidi" w:hAnsiTheme="majorBidi" w:cstheme="majorBidi"/>
                <w:i/>
                <w:iCs/>
                <w:sz w:val="20"/>
                <w:szCs w:val="20"/>
              </w:rPr>
              <w:t>Women, the Family, and Divorce Laws in Islamic History</w:t>
            </w:r>
            <w:r w:rsidRPr="00AB45D7">
              <w:rPr>
                <w:rFonts w:asciiTheme="majorBidi" w:hAnsiTheme="majorBidi" w:cstheme="majorBidi"/>
                <w:sz w:val="20"/>
                <w:szCs w:val="20"/>
              </w:rPr>
              <w:t>. Syracuse: Syracuse University Press (1996): 126-140.</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"The </w:t>
            </w:r>
            <w:proofErr w:type="spellStart"/>
            <w:r w:rsidRPr="00AB45D7">
              <w:rPr>
                <w:rFonts w:asciiTheme="majorBidi" w:hAnsiTheme="majorBidi" w:cstheme="majorBidi"/>
                <w:sz w:val="20"/>
                <w:szCs w:val="20"/>
              </w:rPr>
              <w:t>Beduin</w:t>
            </w:r>
            <w:proofErr w:type="spellEnd"/>
            <w:r w:rsidRPr="00AB45D7">
              <w:rPr>
                <w:rFonts w:asciiTheme="majorBidi" w:hAnsiTheme="majorBidi" w:cstheme="majorBidi"/>
                <w:sz w:val="20"/>
                <w:szCs w:val="20"/>
              </w:rPr>
              <w:t xml:space="preserve"> Tribes of the Hula and </w:t>
            </w:r>
            <w:proofErr w:type="spellStart"/>
            <w:r w:rsidRPr="00AB45D7">
              <w:rPr>
                <w:rFonts w:asciiTheme="majorBidi" w:hAnsiTheme="majorBidi" w:cstheme="majorBidi"/>
                <w:sz w:val="20"/>
                <w:szCs w:val="20"/>
              </w:rPr>
              <w:t>Baysan</w:t>
            </w:r>
            <w:proofErr w:type="spellEnd"/>
            <w:r w:rsidRPr="00AB45D7">
              <w:rPr>
                <w:rFonts w:asciiTheme="majorBidi" w:hAnsiTheme="majorBidi" w:cstheme="majorBidi"/>
                <w:sz w:val="20"/>
                <w:szCs w:val="20"/>
              </w:rPr>
              <w:t xml:space="preserve"> Valleys at the End of the Ottoman Rule According to '</w:t>
            </w:r>
            <w:proofErr w:type="spellStart"/>
            <w:r w:rsidRPr="00AB45D7">
              <w:rPr>
                <w:rFonts w:asciiTheme="majorBidi" w:hAnsiTheme="majorBidi" w:cstheme="majorBidi"/>
                <w:sz w:val="20"/>
                <w:szCs w:val="20"/>
              </w:rPr>
              <w:t>Wilayat</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Bayrut</w:t>
            </w:r>
            <w:proofErr w:type="spellEnd"/>
            <w:r w:rsidRPr="00AB45D7">
              <w:rPr>
                <w:rFonts w:asciiTheme="majorBidi" w:hAnsiTheme="majorBidi" w:cstheme="majorBidi"/>
                <w:sz w:val="20"/>
                <w:szCs w:val="20"/>
              </w:rPr>
              <w:t xml:space="preserve">.'" </w:t>
            </w:r>
            <w:r w:rsidRPr="00AB45D7">
              <w:rPr>
                <w:rFonts w:asciiTheme="majorBidi" w:hAnsiTheme="majorBidi" w:cstheme="majorBidi"/>
                <w:i/>
                <w:iCs/>
                <w:sz w:val="20"/>
                <w:szCs w:val="20"/>
              </w:rPr>
              <w:t>International Journal of Turkish Studies</w:t>
            </w:r>
            <w:r w:rsidRPr="00AB45D7">
              <w:rPr>
                <w:rFonts w:asciiTheme="majorBidi" w:hAnsiTheme="majorBidi" w:cstheme="majorBidi"/>
                <w:sz w:val="20"/>
                <w:szCs w:val="20"/>
              </w:rPr>
              <w:t xml:space="preserve"> 5(1/2) (1990): 47-69. [Also published in Hebrew (</w:t>
            </w:r>
            <w:r w:rsidRPr="00AB45D7">
              <w:rPr>
                <w:rFonts w:asciiTheme="majorBidi" w:hAnsiTheme="majorBidi" w:cstheme="majorBidi"/>
                <w:i/>
                <w:iCs/>
                <w:sz w:val="20"/>
                <w:szCs w:val="20"/>
              </w:rPr>
              <w:t>Cathedra</w:t>
            </w:r>
            <w:r w:rsidRPr="00AB45D7">
              <w:rPr>
                <w:rFonts w:asciiTheme="majorBidi" w:hAnsiTheme="majorBidi" w:cstheme="majorBidi"/>
                <w:sz w:val="20"/>
                <w:szCs w:val="20"/>
              </w:rPr>
              <w:t xml:space="preserve"> 45 (1987): 87-102)].</w:t>
            </w: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"Foreign Trade as a Catalyst of Change in the Arab Economy in Palestine (1879-1914)." </w:t>
            </w:r>
            <w:r w:rsidRPr="00AB45D7">
              <w:rPr>
                <w:rFonts w:asciiTheme="majorBidi" w:hAnsiTheme="majorBidi" w:cstheme="majorBidi"/>
                <w:i/>
                <w:iCs/>
                <w:sz w:val="20"/>
                <w:szCs w:val="20"/>
              </w:rPr>
              <w:t>Cathedra</w:t>
            </w:r>
            <w:r w:rsidRPr="00AB45D7">
              <w:rPr>
                <w:rFonts w:asciiTheme="majorBidi" w:hAnsiTheme="majorBidi" w:cstheme="majorBidi"/>
                <w:sz w:val="20"/>
                <w:szCs w:val="20"/>
              </w:rPr>
              <w:t xml:space="preserve"> 41 (1986): 107-132 (Hebrew).</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Ajzenstadt</w:t>
            </w:r>
            <w:proofErr w:type="spellEnd"/>
            <w:r w:rsidRPr="00AB45D7">
              <w:rPr>
                <w:rFonts w:asciiTheme="majorBidi" w:hAnsiTheme="majorBidi" w:cstheme="majorBidi"/>
                <w:sz w:val="20"/>
                <w:szCs w:val="20"/>
              </w:rPr>
              <w:t xml:space="preserve">, Mimi. "The Struggle for Women's Rights: The Story of Sara Thon." </w:t>
            </w:r>
            <w:r w:rsidRPr="00AB45D7">
              <w:rPr>
                <w:rFonts w:asciiTheme="majorBidi" w:hAnsiTheme="majorBidi" w:cstheme="majorBidi"/>
                <w:i/>
                <w:iCs/>
                <w:sz w:val="20"/>
                <w:szCs w:val="20"/>
              </w:rPr>
              <w:t>Society</w:t>
            </w:r>
            <w:r w:rsidRPr="00AB45D7">
              <w:rPr>
                <w:rFonts w:asciiTheme="majorBidi" w:hAnsiTheme="majorBidi" w:cstheme="majorBidi"/>
                <w:sz w:val="20"/>
                <w:szCs w:val="20"/>
              </w:rPr>
              <w:t xml:space="preserve"> </w:t>
            </w:r>
            <w:r w:rsidRPr="00AB45D7">
              <w:rPr>
                <w:rFonts w:asciiTheme="majorBidi" w:hAnsiTheme="majorBidi" w:cstheme="majorBidi"/>
                <w:i/>
                <w:iCs/>
                <w:sz w:val="20"/>
                <w:szCs w:val="20"/>
              </w:rPr>
              <w:t xml:space="preserve">and Welfare </w:t>
            </w:r>
            <w:r w:rsidRPr="00AB45D7">
              <w:rPr>
                <w:rFonts w:asciiTheme="majorBidi" w:hAnsiTheme="majorBidi" w:cstheme="majorBidi"/>
                <w:sz w:val="20"/>
                <w:szCs w:val="20"/>
              </w:rPr>
              <w:t>20(3) (2000): 404-406 (Hebrew).</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Aloni</w:t>
            </w:r>
            <w:proofErr w:type="spellEnd"/>
            <w:r w:rsidRPr="00AB45D7">
              <w:rPr>
                <w:rFonts w:asciiTheme="majorBidi" w:hAnsiTheme="majorBidi" w:cstheme="majorBidi"/>
                <w:sz w:val="20"/>
                <w:szCs w:val="20"/>
              </w:rPr>
              <w:t xml:space="preserve">, Omer. "The Question of Polygamy: Orientalist Reflections in Early Israeli Law and the Fight Against Bigamy and Polygamy." In </w:t>
            </w:r>
            <w:proofErr w:type="spellStart"/>
            <w:r w:rsidRPr="00AB45D7">
              <w:rPr>
                <w:rFonts w:asciiTheme="majorBidi" w:hAnsiTheme="majorBidi" w:cstheme="majorBidi"/>
                <w:sz w:val="20"/>
                <w:szCs w:val="20"/>
              </w:rPr>
              <w:t>Heba</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Yazbak</w:t>
            </w:r>
            <w:proofErr w:type="spellEnd"/>
            <w:r w:rsidRPr="00AB45D7">
              <w:rPr>
                <w:rFonts w:asciiTheme="majorBidi" w:hAnsiTheme="majorBidi" w:cstheme="majorBidi"/>
                <w:sz w:val="20"/>
                <w:szCs w:val="20"/>
              </w:rPr>
              <w:t xml:space="preserve"> and </w:t>
            </w:r>
            <w:proofErr w:type="spellStart"/>
            <w:r w:rsidRPr="00AB45D7">
              <w:rPr>
                <w:rFonts w:asciiTheme="majorBidi" w:hAnsiTheme="majorBidi" w:cstheme="majorBidi"/>
                <w:sz w:val="20"/>
                <w:szCs w:val="20"/>
              </w:rPr>
              <w:t>Liat</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Kozma</w:t>
            </w:r>
            <w:proofErr w:type="spellEnd"/>
            <w:r w:rsidRPr="00AB45D7">
              <w:rPr>
                <w:rFonts w:asciiTheme="majorBidi" w:hAnsiTheme="majorBidi" w:cstheme="majorBidi"/>
                <w:sz w:val="20"/>
                <w:szCs w:val="20"/>
              </w:rPr>
              <w:t xml:space="preserve"> eds.</w:t>
            </w:r>
            <w:r w:rsidRPr="00AB45D7">
              <w:rPr>
                <w:rFonts w:asciiTheme="majorBidi" w:hAnsiTheme="majorBidi" w:cstheme="majorBidi"/>
                <w:i/>
                <w:iCs/>
                <w:sz w:val="20"/>
                <w:szCs w:val="20"/>
              </w:rPr>
              <w:t xml:space="preserve"> Personal Status and Gender: Palestinian Women in Israe</w:t>
            </w:r>
            <w:r w:rsidRPr="00AB45D7">
              <w:rPr>
                <w:rFonts w:asciiTheme="majorBidi" w:hAnsiTheme="majorBidi" w:cstheme="majorBidi"/>
                <w:sz w:val="20"/>
                <w:szCs w:val="20"/>
              </w:rPr>
              <w:t xml:space="preserve">l. Haifa: </w:t>
            </w:r>
            <w:proofErr w:type="spellStart"/>
            <w:r w:rsidRPr="00AB45D7">
              <w:rPr>
                <w:rFonts w:asciiTheme="majorBidi" w:hAnsiTheme="majorBidi" w:cstheme="majorBidi"/>
                <w:sz w:val="20"/>
                <w:szCs w:val="20"/>
              </w:rPr>
              <w:t>Pardes</w:t>
            </w:r>
            <w:proofErr w:type="spellEnd"/>
            <w:r w:rsidRPr="00AB45D7">
              <w:rPr>
                <w:rFonts w:asciiTheme="majorBidi" w:hAnsiTheme="majorBidi" w:cstheme="majorBidi"/>
                <w:sz w:val="20"/>
                <w:szCs w:val="20"/>
              </w:rPr>
              <w:t xml:space="preserve"> Publishing (2017): 163-200 (Hebrew).   </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"Orientalist Reflections in Early Israeli Law: (New) Perspectives on the Issue of Polygamy." </w:t>
            </w:r>
            <w:r w:rsidRPr="00AB45D7">
              <w:rPr>
                <w:rFonts w:asciiTheme="majorBidi" w:hAnsiTheme="majorBidi" w:cstheme="majorBidi"/>
                <w:i/>
                <w:iCs/>
                <w:sz w:val="20"/>
                <w:szCs w:val="20"/>
              </w:rPr>
              <w:t>Comparative Legal History</w:t>
            </w:r>
            <w:r w:rsidRPr="00AB45D7">
              <w:rPr>
                <w:rFonts w:asciiTheme="majorBidi" w:hAnsiTheme="majorBidi" w:cstheme="majorBidi"/>
                <w:sz w:val="20"/>
                <w:szCs w:val="20"/>
              </w:rPr>
              <w:t xml:space="preserve"> 4(2) (2016): 181-214.</w:t>
            </w: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i/>
                <w:iCs/>
                <w:sz w:val="20"/>
                <w:szCs w:val="20"/>
              </w:rPr>
              <w:t xml:space="preserve"> </w:t>
            </w:r>
            <w:r w:rsidRPr="00AB45D7">
              <w:rPr>
                <w:rFonts w:asciiTheme="majorBidi" w:hAnsiTheme="majorBidi" w:cstheme="majorBidi"/>
                <w:i/>
                <w:iCs/>
                <w:sz w:val="20"/>
                <w:szCs w:val="20"/>
              </w:rPr>
              <w:t>"For There Is Peace in the Village": Reflections of Orientalist Perspectives in Early Israeli Law</w:t>
            </w:r>
            <w:r w:rsidRPr="00AB45D7">
              <w:rPr>
                <w:rFonts w:asciiTheme="majorBidi" w:hAnsiTheme="majorBidi" w:cstheme="majorBidi"/>
                <w:sz w:val="20"/>
                <w:szCs w:val="20"/>
              </w:rPr>
              <w:t xml:space="preserve"> (2012) (unpublished LL.M. thesis, Tel Aviv University) (Hebrew).</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Atran</w:t>
            </w:r>
            <w:proofErr w:type="spellEnd"/>
            <w:r w:rsidRPr="00AB45D7">
              <w:rPr>
                <w:rFonts w:asciiTheme="majorBidi" w:hAnsiTheme="majorBidi" w:cstheme="majorBidi"/>
                <w:sz w:val="20"/>
                <w:szCs w:val="20"/>
              </w:rPr>
              <w:t xml:space="preserve">, Scott. "Le </w:t>
            </w:r>
            <w:proofErr w:type="spellStart"/>
            <w:r w:rsidRPr="00AB45D7">
              <w:rPr>
                <w:rFonts w:asciiTheme="majorBidi" w:hAnsiTheme="majorBidi" w:cstheme="majorBidi"/>
                <w:sz w:val="20"/>
                <w:szCs w:val="20"/>
              </w:rPr>
              <w:t>mashaʻa</w:t>
            </w:r>
            <w:proofErr w:type="spellEnd"/>
            <w:r w:rsidRPr="00AB45D7">
              <w:rPr>
                <w:rFonts w:asciiTheme="majorBidi" w:hAnsiTheme="majorBidi" w:cstheme="majorBidi"/>
                <w:sz w:val="20"/>
                <w:szCs w:val="20"/>
              </w:rPr>
              <w:t xml:space="preserve"> et la question </w:t>
            </w:r>
            <w:proofErr w:type="spellStart"/>
            <w:r w:rsidRPr="00AB45D7">
              <w:rPr>
                <w:rFonts w:asciiTheme="majorBidi" w:hAnsiTheme="majorBidi" w:cstheme="majorBidi"/>
                <w:sz w:val="20"/>
                <w:szCs w:val="20"/>
              </w:rPr>
              <w:t>foncière</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en</w:t>
            </w:r>
            <w:proofErr w:type="spellEnd"/>
            <w:r w:rsidRPr="00AB45D7">
              <w:rPr>
                <w:rFonts w:asciiTheme="majorBidi" w:hAnsiTheme="majorBidi" w:cstheme="majorBidi"/>
                <w:sz w:val="20"/>
                <w:szCs w:val="20"/>
              </w:rPr>
              <w:t xml:space="preserve"> Palestine, 1858-1948." </w:t>
            </w:r>
            <w:proofErr w:type="spellStart"/>
            <w:r w:rsidRPr="00AB45D7">
              <w:rPr>
                <w:rFonts w:asciiTheme="majorBidi" w:hAnsiTheme="majorBidi" w:cstheme="majorBidi"/>
                <w:i/>
                <w:iCs/>
                <w:sz w:val="20"/>
                <w:szCs w:val="20"/>
              </w:rPr>
              <w:t>Annales</w:t>
            </w:r>
            <w:proofErr w:type="spellEnd"/>
            <w:r w:rsidRPr="00AB45D7">
              <w:rPr>
                <w:rFonts w:asciiTheme="majorBidi" w:hAnsiTheme="majorBidi" w:cstheme="majorBidi"/>
                <w:i/>
                <w:iCs/>
                <w:sz w:val="20"/>
                <w:szCs w:val="20"/>
              </w:rPr>
              <w:t xml:space="preserve">. </w:t>
            </w:r>
            <w:proofErr w:type="spellStart"/>
            <w:r w:rsidRPr="00AB45D7">
              <w:rPr>
                <w:rFonts w:asciiTheme="majorBidi" w:hAnsiTheme="majorBidi" w:cstheme="majorBidi"/>
                <w:i/>
                <w:iCs/>
                <w:sz w:val="20"/>
                <w:szCs w:val="20"/>
              </w:rPr>
              <w:t>Économies</w:t>
            </w:r>
            <w:proofErr w:type="spellEnd"/>
            <w:r w:rsidRPr="00AB45D7">
              <w:rPr>
                <w:rFonts w:asciiTheme="majorBidi" w:hAnsiTheme="majorBidi" w:cstheme="majorBidi"/>
                <w:i/>
                <w:iCs/>
                <w:sz w:val="20"/>
                <w:szCs w:val="20"/>
              </w:rPr>
              <w:t xml:space="preserve">, </w:t>
            </w:r>
            <w:proofErr w:type="spellStart"/>
            <w:r w:rsidRPr="00AB45D7">
              <w:rPr>
                <w:rFonts w:asciiTheme="majorBidi" w:hAnsiTheme="majorBidi" w:cstheme="majorBidi"/>
                <w:i/>
                <w:iCs/>
                <w:sz w:val="20"/>
                <w:szCs w:val="20"/>
              </w:rPr>
              <w:t>Sociétés</w:t>
            </w:r>
            <w:proofErr w:type="spellEnd"/>
            <w:r w:rsidRPr="00AB45D7">
              <w:rPr>
                <w:rFonts w:asciiTheme="majorBidi" w:hAnsiTheme="majorBidi" w:cstheme="majorBidi"/>
                <w:i/>
                <w:iCs/>
                <w:sz w:val="20"/>
                <w:szCs w:val="20"/>
              </w:rPr>
              <w:t xml:space="preserve">, </w:t>
            </w:r>
            <w:proofErr w:type="spellStart"/>
            <w:r w:rsidRPr="00AB45D7">
              <w:rPr>
                <w:rFonts w:asciiTheme="majorBidi" w:hAnsiTheme="majorBidi" w:cstheme="majorBidi"/>
                <w:i/>
                <w:iCs/>
                <w:sz w:val="20"/>
                <w:szCs w:val="20"/>
              </w:rPr>
              <w:t>Civilisations</w:t>
            </w:r>
            <w:proofErr w:type="spellEnd"/>
            <w:r w:rsidRPr="00AB45D7">
              <w:rPr>
                <w:rFonts w:asciiTheme="majorBidi" w:hAnsiTheme="majorBidi" w:cstheme="majorBidi"/>
                <w:sz w:val="20"/>
                <w:szCs w:val="20"/>
              </w:rPr>
              <w:t xml:space="preserve"> 42 (1987): 1361-1389 (French).</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Ben-</w:t>
            </w:r>
            <w:proofErr w:type="spellStart"/>
            <w:r w:rsidRPr="00AB45D7">
              <w:rPr>
                <w:rFonts w:asciiTheme="majorBidi" w:hAnsiTheme="majorBidi" w:cstheme="majorBidi"/>
                <w:sz w:val="20"/>
                <w:szCs w:val="20"/>
              </w:rPr>
              <w:t>Artzi</w:t>
            </w:r>
            <w:proofErr w:type="spellEnd"/>
            <w:r w:rsidRPr="00AB45D7">
              <w:rPr>
                <w:rFonts w:asciiTheme="majorBidi" w:hAnsiTheme="majorBidi" w:cstheme="majorBidi"/>
                <w:sz w:val="20"/>
                <w:szCs w:val="20"/>
              </w:rPr>
              <w:t xml:space="preserve">, Yossi, Ruth </w:t>
            </w:r>
            <w:proofErr w:type="spellStart"/>
            <w:r w:rsidRPr="00AB45D7">
              <w:rPr>
                <w:rFonts w:asciiTheme="majorBidi" w:hAnsiTheme="majorBidi" w:cstheme="majorBidi"/>
                <w:sz w:val="20"/>
                <w:szCs w:val="20"/>
              </w:rPr>
              <w:t>Kark</w:t>
            </w:r>
            <w:proofErr w:type="spellEnd"/>
            <w:r w:rsidRPr="00AB45D7">
              <w:rPr>
                <w:rFonts w:asciiTheme="majorBidi" w:hAnsiTheme="majorBidi" w:cstheme="majorBidi"/>
                <w:sz w:val="20"/>
                <w:szCs w:val="20"/>
              </w:rPr>
              <w:t xml:space="preserve">, and Ran </w:t>
            </w:r>
            <w:proofErr w:type="spellStart"/>
            <w:r w:rsidRPr="00AB45D7">
              <w:rPr>
                <w:rFonts w:asciiTheme="majorBidi" w:hAnsiTheme="majorBidi" w:cstheme="majorBidi"/>
                <w:sz w:val="20"/>
                <w:szCs w:val="20"/>
              </w:rPr>
              <w:t>Aaronsohn</w:t>
            </w:r>
            <w:proofErr w:type="spellEnd"/>
            <w:r w:rsidRPr="00AB45D7">
              <w:rPr>
                <w:rFonts w:asciiTheme="majorBidi" w:hAnsiTheme="majorBidi" w:cstheme="majorBidi"/>
                <w:sz w:val="20"/>
                <w:szCs w:val="20"/>
              </w:rPr>
              <w:t xml:space="preserve">. "Function of Jewish Settlement Sites in Palestine 1882-1914, Before Purchase – Khans or Estates?" </w:t>
            </w:r>
            <w:r w:rsidRPr="00AB45D7">
              <w:rPr>
                <w:rFonts w:asciiTheme="majorBidi" w:hAnsiTheme="majorBidi" w:cstheme="majorBidi"/>
                <w:i/>
                <w:iCs/>
                <w:sz w:val="20"/>
                <w:szCs w:val="20"/>
              </w:rPr>
              <w:t>Zionism: Studies in the History of the Zionist Movement and the Jewish Community in Palestine</w:t>
            </w:r>
            <w:r w:rsidRPr="00AB45D7">
              <w:rPr>
                <w:rFonts w:asciiTheme="majorBidi" w:hAnsiTheme="majorBidi" w:cstheme="majorBidi"/>
                <w:sz w:val="20"/>
                <w:szCs w:val="20"/>
              </w:rPr>
              <w:t xml:space="preserve"> 13 (1988): 263-284 (Hebrew).</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lastRenderedPageBreak/>
              <w:t>Ben-</w:t>
            </w:r>
            <w:proofErr w:type="spellStart"/>
            <w:r w:rsidRPr="00AB45D7">
              <w:rPr>
                <w:rFonts w:asciiTheme="majorBidi" w:hAnsiTheme="majorBidi" w:cstheme="majorBidi"/>
                <w:sz w:val="20"/>
                <w:szCs w:val="20"/>
              </w:rPr>
              <w:t>Bassat</w:t>
            </w:r>
            <w:proofErr w:type="spellEnd"/>
            <w:r w:rsidRPr="00AB45D7">
              <w:rPr>
                <w:rFonts w:asciiTheme="majorBidi" w:hAnsiTheme="majorBidi" w:cstheme="majorBidi"/>
                <w:sz w:val="20"/>
                <w:szCs w:val="20"/>
              </w:rPr>
              <w:t xml:space="preserve">, Yuval. </w:t>
            </w:r>
            <w:r w:rsidRPr="00AB45D7">
              <w:rPr>
                <w:rFonts w:asciiTheme="majorBidi" w:hAnsiTheme="majorBidi" w:cstheme="majorBidi"/>
                <w:i/>
                <w:iCs/>
                <w:sz w:val="20"/>
                <w:szCs w:val="20"/>
              </w:rPr>
              <w:t>Petitioning the Sultan: Protests and Justice in Late Ottoman Palestine</w:t>
            </w:r>
            <w:r w:rsidRPr="00AB45D7">
              <w:rPr>
                <w:rFonts w:asciiTheme="majorBidi" w:hAnsiTheme="majorBidi" w:cstheme="majorBidi"/>
                <w:sz w:val="20"/>
                <w:szCs w:val="20"/>
              </w:rPr>
              <w:t>. London: I. B. Tauris (2013).</w:t>
            </w: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AB45D7">
              <w:rPr>
                <w:rFonts w:asciiTheme="majorBidi" w:hAnsiTheme="majorBidi" w:cstheme="majorBidi"/>
                <w:sz w:val="20"/>
                <w:szCs w:val="20"/>
              </w:rPr>
              <w:t xml:space="preserve">"In Search of Justice: Petitions Sent from Palestine to Istanbul from the 1870's Onwards." </w:t>
            </w:r>
            <w:proofErr w:type="spellStart"/>
            <w:r w:rsidRPr="00AB45D7">
              <w:rPr>
                <w:rFonts w:asciiTheme="majorBidi" w:hAnsiTheme="majorBidi" w:cstheme="majorBidi"/>
                <w:i/>
                <w:iCs/>
                <w:sz w:val="20"/>
                <w:szCs w:val="20"/>
              </w:rPr>
              <w:t>Turcica</w:t>
            </w:r>
            <w:proofErr w:type="spellEnd"/>
            <w:r w:rsidRPr="00AB45D7">
              <w:rPr>
                <w:rFonts w:asciiTheme="majorBidi" w:hAnsiTheme="majorBidi" w:cstheme="majorBidi"/>
                <w:sz w:val="20"/>
                <w:szCs w:val="20"/>
              </w:rPr>
              <w:t xml:space="preserve"> 41 (2009): 89-114.</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Ben-</w:t>
            </w:r>
            <w:proofErr w:type="spellStart"/>
            <w:r w:rsidRPr="00AB45D7">
              <w:rPr>
                <w:rFonts w:asciiTheme="majorBidi" w:hAnsiTheme="majorBidi" w:cstheme="majorBidi"/>
                <w:sz w:val="20"/>
                <w:szCs w:val="20"/>
              </w:rPr>
              <w:t>Porat</w:t>
            </w:r>
            <w:proofErr w:type="spellEnd"/>
            <w:r w:rsidRPr="00AB45D7">
              <w:rPr>
                <w:rFonts w:asciiTheme="majorBidi" w:hAnsiTheme="majorBidi" w:cstheme="majorBidi"/>
                <w:sz w:val="20"/>
                <w:szCs w:val="20"/>
              </w:rPr>
              <w:t xml:space="preserve">, Amir. </w:t>
            </w:r>
            <w:r w:rsidRPr="00AB45D7">
              <w:rPr>
                <w:rFonts w:asciiTheme="majorBidi" w:hAnsiTheme="majorBidi" w:cstheme="majorBidi"/>
                <w:i/>
                <w:iCs/>
                <w:sz w:val="20"/>
                <w:szCs w:val="20"/>
              </w:rPr>
              <w:t>Between Class and Nation: The Formation of the Jewish Working Class in the Period Before Israel's Statehood</w:t>
            </w:r>
            <w:r w:rsidRPr="00AB45D7">
              <w:rPr>
                <w:rFonts w:asciiTheme="majorBidi" w:hAnsiTheme="majorBidi" w:cstheme="majorBidi"/>
                <w:sz w:val="20"/>
                <w:szCs w:val="20"/>
              </w:rPr>
              <w:t xml:space="preserve">. Jerusalem: The Hebrew University </w:t>
            </w:r>
            <w:proofErr w:type="spellStart"/>
            <w:r w:rsidRPr="00AB45D7">
              <w:rPr>
                <w:rFonts w:asciiTheme="majorBidi" w:hAnsiTheme="majorBidi" w:cstheme="majorBidi"/>
                <w:sz w:val="20"/>
                <w:szCs w:val="20"/>
              </w:rPr>
              <w:t>Magnes</w:t>
            </w:r>
            <w:proofErr w:type="spellEnd"/>
            <w:r w:rsidRPr="00AB45D7">
              <w:rPr>
                <w:rFonts w:asciiTheme="majorBidi" w:hAnsiTheme="majorBidi" w:cstheme="majorBidi"/>
                <w:sz w:val="20"/>
                <w:szCs w:val="20"/>
              </w:rPr>
              <w:t xml:space="preserve"> Press (1999) (Hebrew).   </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Bentwich</w:t>
            </w:r>
            <w:proofErr w:type="spellEnd"/>
            <w:r w:rsidRPr="00AB45D7">
              <w:rPr>
                <w:rFonts w:asciiTheme="majorBidi" w:hAnsiTheme="majorBidi" w:cstheme="majorBidi"/>
                <w:sz w:val="20"/>
                <w:szCs w:val="20"/>
              </w:rPr>
              <w:t xml:space="preserve">, Norman. </w:t>
            </w:r>
            <w:r w:rsidRPr="00AB45D7">
              <w:rPr>
                <w:rFonts w:asciiTheme="majorBidi" w:hAnsiTheme="majorBidi" w:cstheme="majorBidi"/>
                <w:i/>
                <w:iCs/>
                <w:sz w:val="20"/>
                <w:szCs w:val="20"/>
              </w:rPr>
              <w:t>The Criminal Law of Palestine, 1928: Being the Parts of the Ottoman Penal Code Which Are Still in Force and the Principal Ordinances of the Government of Palestine Replacing Parts of That Code</w:t>
            </w:r>
            <w:r w:rsidRPr="00AB45D7">
              <w:rPr>
                <w:rFonts w:asciiTheme="majorBidi" w:hAnsiTheme="majorBidi" w:cstheme="majorBidi"/>
                <w:sz w:val="20"/>
                <w:szCs w:val="20"/>
              </w:rPr>
              <w:t>. Jerusalem: Greek Convent Press (1928). [Reprinted in Jerusalem: Centre for Industrial Planning (1977)].</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Birnhack</w:t>
            </w:r>
            <w:proofErr w:type="spellEnd"/>
            <w:r w:rsidRPr="00AB45D7">
              <w:rPr>
                <w:rFonts w:asciiTheme="majorBidi" w:hAnsiTheme="majorBidi" w:cstheme="majorBidi"/>
                <w:sz w:val="20"/>
                <w:szCs w:val="20"/>
              </w:rPr>
              <w:t>, Michael.</w:t>
            </w:r>
            <w:r w:rsidRPr="00AB45D7">
              <w:rPr>
                <w:rFonts w:asciiTheme="majorBidi" w:hAnsiTheme="majorBidi" w:cstheme="majorBidi"/>
                <w:i/>
                <w:iCs/>
                <w:sz w:val="20"/>
                <w:szCs w:val="20"/>
              </w:rPr>
              <w:t xml:space="preserve"> </w:t>
            </w:r>
            <w:r w:rsidRPr="00AB45D7">
              <w:rPr>
                <w:rFonts w:asciiTheme="majorBidi" w:hAnsiTheme="majorBidi" w:cstheme="majorBidi"/>
                <w:sz w:val="20"/>
                <w:szCs w:val="20"/>
              </w:rPr>
              <w:t xml:space="preserve">"Mandatory Copyright: From Pre-Palestine to Israel, 1910-2007." In </w:t>
            </w:r>
            <w:proofErr w:type="spellStart"/>
            <w:r w:rsidRPr="00AB45D7">
              <w:rPr>
                <w:rFonts w:asciiTheme="majorBidi" w:hAnsiTheme="majorBidi" w:cstheme="majorBidi"/>
                <w:sz w:val="20"/>
                <w:szCs w:val="20"/>
              </w:rPr>
              <w:t>Ysolde</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Gendreau</w:t>
            </w:r>
            <w:proofErr w:type="spellEnd"/>
            <w:r w:rsidRPr="00AB45D7">
              <w:rPr>
                <w:rFonts w:asciiTheme="majorBidi" w:hAnsiTheme="majorBidi" w:cstheme="majorBidi"/>
                <w:sz w:val="20"/>
                <w:szCs w:val="20"/>
              </w:rPr>
              <w:t xml:space="preserve"> and Uma </w:t>
            </w:r>
            <w:proofErr w:type="spellStart"/>
            <w:r w:rsidRPr="00AB45D7">
              <w:rPr>
                <w:rFonts w:asciiTheme="majorBidi" w:hAnsiTheme="majorBidi" w:cstheme="majorBidi"/>
                <w:sz w:val="20"/>
                <w:szCs w:val="20"/>
              </w:rPr>
              <w:t>Suthersanen</w:t>
            </w:r>
            <w:proofErr w:type="spellEnd"/>
            <w:r w:rsidRPr="00AB45D7">
              <w:rPr>
                <w:rFonts w:asciiTheme="majorBidi" w:hAnsiTheme="majorBidi" w:cstheme="majorBidi"/>
                <w:sz w:val="20"/>
                <w:szCs w:val="20"/>
              </w:rPr>
              <w:t xml:space="preserve"> eds.</w:t>
            </w:r>
            <w:r w:rsidRPr="00AB45D7">
              <w:rPr>
                <w:rFonts w:asciiTheme="majorBidi" w:hAnsiTheme="majorBidi" w:cstheme="majorBidi"/>
                <w:i/>
                <w:iCs/>
                <w:sz w:val="20"/>
                <w:szCs w:val="20"/>
              </w:rPr>
              <w:t> A Shifting Empire: 100 Years of the Copyright Act 1911</w:t>
            </w:r>
            <w:r w:rsidRPr="00AB45D7">
              <w:rPr>
                <w:rFonts w:asciiTheme="majorBidi" w:hAnsiTheme="majorBidi" w:cstheme="majorBidi"/>
                <w:sz w:val="20"/>
                <w:szCs w:val="20"/>
              </w:rPr>
              <w:t>. Cheltenham: Edward Elgar (2013): 84-115.</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Brun</w:t>
            </w:r>
            <w:proofErr w:type="spellEnd"/>
            <w:r w:rsidRPr="00AB45D7">
              <w:rPr>
                <w:rFonts w:asciiTheme="majorBidi" w:hAnsiTheme="majorBidi" w:cstheme="majorBidi"/>
                <w:sz w:val="20"/>
                <w:szCs w:val="20"/>
              </w:rPr>
              <w:t>, Nathan.</w:t>
            </w:r>
            <w:r w:rsidRPr="00AB45D7">
              <w:rPr>
                <w:rFonts w:asciiTheme="majorBidi" w:hAnsiTheme="majorBidi" w:cstheme="majorBidi"/>
                <w:i/>
                <w:iCs/>
                <w:sz w:val="20"/>
                <w:szCs w:val="20"/>
              </w:rPr>
              <w:t xml:space="preserve"> Judges and Lawyers in </w:t>
            </w:r>
            <w:proofErr w:type="spellStart"/>
            <w:r w:rsidRPr="00AB45D7">
              <w:rPr>
                <w:rFonts w:asciiTheme="majorBidi" w:hAnsiTheme="majorBidi" w:cstheme="majorBidi"/>
                <w:i/>
                <w:iCs/>
                <w:sz w:val="20"/>
                <w:szCs w:val="20"/>
              </w:rPr>
              <w:t>Eretz</w:t>
            </w:r>
            <w:proofErr w:type="spellEnd"/>
            <w:r w:rsidRPr="00AB45D7">
              <w:rPr>
                <w:rFonts w:asciiTheme="majorBidi" w:hAnsiTheme="majorBidi" w:cstheme="majorBidi"/>
                <w:i/>
                <w:iCs/>
                <w:sz w:val="20"/>
                <w:szCs w:val="20"/>
              </w:rPr>
              <w:t xml:space="preserve"> Israel: Between Constantinople and Jerusalem, 1900-1930</w:t>
            </w:r>
            <w:r w:rsidRPr="00AB45D7">
              <w:rPr>
                <w:rFonts w:asciiTheme="majorBidi" w:hAnsiTheme="majorBidi" w:cstheme="majorBidi"/>
                <w:sz w:val="20"/>
                <w:szCs w:val="20"/>
              </w:rPr>
              <w:t xml:space="preserve">. Jerusalem: The Hebrew University </w:t>
            </w:r>
            <w:proofErr w:type="spellStart"/>
            <w:r w:rsidRPr="00AB45D7">
              <w:rPr>
                <w:rFonts w:asciiTheme="majorBidi" w:hAnsiTheme="majorBidi" w:cstheme="majorBidi"/>
                <w:sz w:val="20"/>
                <w:szCs w:val="20"/>
              </w:rPr>
              <w:t>Magnes</w:t>
            </w:r>
            <w:proofErr w:type="spellEnd"/>
            <w:r w:rsidRPr="00AB45D7">
              <w:rPr>
                <w:rFonts w:asciiTheme="majorBidi" w:hAnsiTheme="majorBidi" w:cstheme="majorBidi"/>
                <w:sz w:val="20"/>
                <w:szCs w:val="20"/>
              </w:rPr>
              <w:t xml:space="preserve"> Press (2008) (Hebrew). </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 xml:space="preserve">Burstein, </w:t>
            </w:r>
            <w:proofErr w:type="spellStart"/>
            <w:r w:rsidRPr="00AB45D7">
              <w:rPr>
                <w:rFonts w:asciiTheme="majorBidi" w:hAnsiTheme="majorBidi" w:cstheme="majorBidi"/>
                <w:sz w:val="20"/>
                <w:szCs w:val="20"/>
              </w:rPr>
              <w:t>Moshé</w:t>
            </w:r>
            <w:proofErr w:type="spellEnd"/>
            <w:r w:rsidRPr="00AB45D7">
              <w:rPr>
                <w:rFonts w:asciiTheme="majorBidi" w:hAnsiTheme="majorBidi" w:cstheme="majorBidi"/>
                <w:sz w:val="20"/>
                <w:szCs w:val="20"/>
              </w:rPr>
              <w:t>.</w:t>
            </w:r>
            <w:r w:rsidRPr="00AB45D7">
              <w:rPr>
                <w:rFonts w:asciiTheme="majorBidi" w:hAnsiTheme="majorBidi" w:cstheme="majorBidi"/>
                <w:i/>
                <w:iCs/>
                <w:sz w:val="20"/>
                <w:szCs w:val="20"/>
              </w:rPr>
              <w:t xml:space="preserve"> Self-Government of the Jews in Palestine Since 1900</w:t>
            </w:r>
            <w:r w:rsidRPr="00AB45D7">
              <w:rPr>
                <w:rFonts w:asciiTheme="majorBidi" w:hAnsiTheme="majorBidi" w:cstheme="majorBidi"/>
                <w:sz w:val="20"/>
                <w:szCs w:val="20"/>
              </w:rPr>
              <w:t xml:space="preserve">. Tel Aviv: </w:t>
            </w:r>
            <w:proofErr w:type="spellStart"/>
            <w:r w:rsidRPr="00AB45D7">
              <w:rPr>
                <w:rFonts w:asciiTheme="majorBidi" w:hAnsiTheme="majorBidi" w:cstheme="majorBidi"/>
                <w:sz w:val="20"/>
                <w:szCs w:val="20"/>
              </w:rPr>
              <w:t>n.p</w:t>
            </w:r>
            <w:proofErr w:type="spellEnd"/>
            <w:r w:rsidRPr="00AB45D7">
              <w:rPr>
                <w:rFonts w:asciiTheme="majorBidi" w:hAnsiTheme="majorBidi" w:cstheme="majorBidi"/>
                <w:sz w:val="20"/>
                <w:szCs w:val="20"/>
              </w:rPr>
              <w:t xml:space="preserve">. (1934).   </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Campos, Michelle U. "Making Citizens, Contesting Citizenship in Late Ottoman Palestine." In Yuval Ben-</w:t>
            </w:r>
            <w:proofErr w:type="spellStart"/>
            <w:r w:rsidRPr="00AB45D7">
              <w:rPr>
                <w:rFonts w:asciiTheme="majorBidi" w:hAnsiTheme="majorBidi" w:cstheme="majorBidi"/>
                <w:sz w:val="20"/>
                <w:szCs w:val="20"/>
              </w:rPr>
              <w:t>Bassat</w:t>
            </w:r>
            <w:proofErr w:type="spellEnd"/>
            <w:r w:rsidRPr="00AB45D7">
              <w:rPr>
                <w:rFonts w:asciiTheme="majorBidi" w:hAnsiTheme="majorBidi" w:cstheme="majorBidi"/>
                <w:sz w:val="20"/>
                <w:szCs w:val="20"/>
              </w:rPr>
              <w:t xml:space="preserve"> and </w:t>
            </w:r>
            <w:proofErr w:type="spellStart"/>
            <w:r w:rsidRPr="00AB45D7">
              <w:rPr>
                <w:rFonts w:asciiTheme="majorBidi" w:hAnsiTheme="majorBidi" w:cstheme="majorBidi"/>
                <w:sz w:val="20"/>
                <w:szCs w:val="20"/>
              </w:rPr>
              <w:t>Eyal</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Ginio</w:t>
            </w:r>
            <w:proofErr w:type="spellEnd"/>
            <w:r w:rsidRPr="00AB45D7">
              <w:rPr>
                <w:rFonts w:asciiTheme="majorBidi" w:hAnsiTheme="majorBidi" w:cstheme="majorBidi"/>
                <w:sz w:val="20"/>
                <w:szCs w:val="20"/>
              </w:rPr>
              <w:t xml:space="preserve"> eds. </w:t>
            </w:r>
            <w:r w:rsidRPr="00AB45D7">
              <w:rPr>
                <w:rFonts w:asciiTheme="majorBidi" w:hAnsiTheme="majorBidi" w:cstheme="majorBidi"/>
                <w:i/>
                <w:iCs/>
                <w:sz w:val="20"/>
                <w:szCs w:val="20"/>
              </w:rPr>
              <w:t>Late Ottoman Palestine: The Period of Young Turk Rule</w:t>
            </w:r>
            <w:r w:rsidRPr="00AB45D7">
              <w:rPr>
                <w:rFonts w:asciiTheme="majorBidi" w:hAnsiTheme="majorBidi" w:cstheme="majorBidi"/>
                <w:sz w:val="20"/>
                <w:szCs w:val="20"/>
              </w:rPr>
              <w:t>. London: I. B. Tauris (2011): 17-33.</w:t>
            </w: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i/>
                <w:iCs/>
                <w:sz w:val="20"/>
                <w:szCs w:val="20"/>
              </w:rPr>
              <w:t xml:space="preserve"> </w:t>
            </w:r>
            <w:r w:rsidRPr="00AB45D7">
              <w:rPr>
                <w:rFonts w:asciiTheme="majorBidi" w:hAnsiTheme="majorBidi" w:cstheme="majorBidi"/>
                <w:i/>
                <w:iCs/>
                <w:sz w:val="20"/>
                <w:szCs w:val="20"/>
              </w:rPr>
              <w:t>Ottoman Brothers: Muslims, Christians and Jews in Early Twentieth-Century Palestine</w:t>
            </w:r>
            <w:r w:rsidRPr="00AB45D7">
              <w:rPr>
                <w:rFonts w:asciiTheme="majorBidi" w:hAnsiTheme="majorBidi" w:cstheme="majorBidi"/>
                <w:sz w:val="20"/>
                <w:szCs w:val="20"/>
              </w:rPr>
              <w:t>. Stanford: Stanford University Press (2011).</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 xml:space="preserve">Cohen, </w:t>
            </w:r>
            <w:proofErr w:type="spellStart"/>
            <w:r w:rsidRPr="00AB45D7">
              <w:rPr>
                <w:rFonts w:asciiTheme="majorBidi" w:hAnsiTheme="majorBidi" w:cstheme="majorBidi"/>
                <w:sz w:val="20"/>
                <w:szCs w:val="20"/>
              </w:rPr>
              <w:t>Amnon</w:t>
            </w:r>
            <w:proofErr w:type="spellEnd"/>
            <w:r w:rsidRPr="00AB45D7">
              <w:rPr>
                <w:rFonts w:asciiTheme="majorBidi" w:hAnsiTheme="majorBidi" w:cstheme="majorBidi"/>
                <w:sz w:val="20"/>
                <w:szCs w:val="20"/>
              </w:rPr>
              <w:t xml:space="preserve">. "'A Jew in a Muslim Court?' The Case of </w:t>
            </w:r>
            <w:proofErr w:type="spellStart"/>
            <w:r w:rsidRPr="00AB45D7">
              <w:rPr>
                <w:rFonts w:asciiTheme="majorBidi" w:hAnsiTheme="majorBidi" w:cstheme="majorBidi"/>
                <w:sz w:val="20"/>
                <w:szCs w:val="20"/>
              </w:rPr>
              <w:t>Shlomo</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Zalman</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Zoref</w:t>
            </w:r>
            <w:proofErr w:type="spellEnd"/>
            <w:r w:rsidRPr="00AB45D7">
              <w:rPr>
                <w:rFonts w:asciiTheme="majorBidi" w:hAnsiTheme="majorBidi" w:cstheme="majorBidi"/>
                <w:sz w:val="20"/>
                <w:szCs w:val="20"/>
              </w:rPr>
              <w:t xml:space="preserve">." In Shimon Shamir and Israel </w:t>
            </w:r>
            <w:proofErr w:type="spellStart"/>
            <w:r w:rsidRPr="00AB45D7">
              <w:rPr>
                <w:rFonts w:asciiTheme="majorBidi" w:hAnsiTheme="majorBidi" w:cstheme="majorBidi"/>
                <w:sz w:val="20"/>
                <w:szCs w:val="20"/>
              </w:rPr>
              <w:t>Bartal</w:t>
            </w:r>
            <w:proofErr w:type="spellEnd"/>
            <w:r w:rsidRPr="00AB45D7">
              <w:rPr>
                <w:rFonts w:asciiTheme="majorBidi" w:hAnsiTheme="majorBidi" w:cstheme="majorBidi"/>
                <w:sz w:val="20"/>
                <w:szCs w:val="20"/>
              </w:rPr>
              <w:t xml:space="preserve"> eds</w:t>
            </w:r>
            <w:r w:rsidRPr="00AB45D7">
              <w:rPr>
                <w:rFonts w:asciiTheme="majorBidi" w:hAnsiTheme="majorBidi" w:cstheme="majorBidi"/>
                <w:i/>
                <w:iCs/>
                <w:sz w:val="20"/>
                <w:szCs w:val="20"/>
              </w:rPr>
              <w:t>. The </w:t>
            </w:r>
            <w:proofErr w:type="spellStart"/>
            <w:r w:rsidRPr="00AB45D7">
              <w:rPr>
                <w:rFonts w:asciiTheme="majorBidi" w:hAnsiTheme="majorBidi" w:cstheme="majorBidi"/>
                <w:i/>
                <w:iCs/>
                <w:sz w:val="20"/>
                <w:szCs w:val="20"/>
              </w:rPr>
              <w:t>Salomons</w:t>
            </w:r>
            <w:proofErr w:type="spellEnd"/>
            <w:r w:rsidRPr="00AB45D7">
              <w:rPr>
                <w:rFonts w:asciiTheme="majorBidi" w:hAnsiTheme="majorBidi" w:cstheme="majorBidi"/>
                <w:i/>
                <w:iCs/>
                <w:sz w:val="20"/>
                <w:szCs w:val="20"/>
              </w:rPr>
              <w:t>: Three Generations of Pioneers and Leaders</w:t>
            </w:r>
            <w:r w:rsidRPr="00AB45D7">
              <w:rPr>
                <w:rFonts w:asciiTheme="majorBidi" w:hAnsiTheme="majorBidi" w:cstheme="majorBidi"/>
                <w:sz w:val="20"/>
                <w:szCs w:val="20"/>
              </w:rPr>
              <w:t xml:space="preserve">. Jerusalem: The </w:t>
            </w:r>
            <w:proofErr w:type="spellStart"/>
            <w:r w:rsidRPr="00AB45D7">
              <w:rPr>
                <w:rFonts w:asciiTheme="majorBidi" w:hAnsiTheme="majorBidi" w:cstheme="majorBidi"/>
                <w:sz w:val="20"/>
                <w:szCs w:val="20"/>
              </w:rPr>
              <w:t>Zalman</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Shazar</w:t>
            </w:r>
            <w:proofErr w:type="spellEnd"/>
            <w:r w:rsidRPr="00AB45D7">
              <w:rPr>
                <w:rFonts w:asciiTheme="majorBidi" w:hAnsiTheme="majorBidi" w:cstheme="majorBidi"/>
                <w:sz w:val="20"/>
                <w:szCs w:val="20"/>
              </w:rPr>
              <w:t xml:space="preserve"> Center for Jewish History (2014): 34-45 (Hebrew).</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 xml:space="preserve">Cohen, </w:t>
            </w:r>
            <w:proofErr w:type="spellStart"/>
            <w:r w:rsidRPr="00AB45D7">
              <w:rPr>
                <w:rFonts w:asciiTheme="majorBidi" w:hAnsiTheme="majorBidi" w:cstheme="majorBidi"/>
                <w:sz w:val="20"/>
                <w:szCs w:val="20"/>
              </w:rPr>
              <w:t>Amnon</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Elisheva</w:t>
            </w:r>
            <w:proofErr w:type="spellEnd"/>
            <w:r w:rsidRPr="00AB45D7">
              <w:rPr>
                <w:rFonts w:asciiTheme="majorBidi" w:hAnsiTheme="majorBidi" w:cstheme="majorBidi"/>
                <w:sz w:val="20"/>
                <w:szCs w:val="20"/>
              </w:rPr>
              <w:t xml:space="preserve"> Ben-Shimon-</w:t>
            </w:r>
            <w:proofErr w:type="spellStart"/>
            <w:r w:rsidRPr="00AB45D7">
              <w:rPr>
                <w:rFonts w:asciiTheme="majorBidi" w:hAnsiTheme="majorBidi" w:cstheme="majorBidi"/>
                <w:sz w:val="20"/>
                <w:szCs w:val="20"/>
              </w:rPr>
              <w:t>Pikali</w:t>
            </w:r>
            <w:proofErr w:type="spellEnd"/>
            <w:r w:rsidRPr="00AB45D7">
              <w:rPr>
                <w:rFonts w:asciiTheme="majorBidi" w:hAnsiTheme="majorBidi" w:cstheme="majorBidi"/>
                <w:sz w:val="20"/>
                <w:szCs w:val="20"/>
              </w:rPr>
              <w:t xml:space="preserve"> and </w:t>
            </w:r>
            <w:proofErr w:type="spellStart"/>
            <w:r w:rsidRPr="00AB45D7">
              <w:rPr>
                <w:rFonts w:asciiTheme="majorBidi" w:hAnsiTheme="majorBidi" w:cstheme="majorBidi"/>
                <w:sz w:val="20"/>
                <w:szCs w:val="20"/>
              </w:rPr>
              <w:t>Eyal</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Ginio</w:t>
            </w:r>
            <w:proofErr w:type="spellEnd"/>
            <w:r w:rsidRPr="00AB45D7">
              <w:rPr>
                <w:rFonts w:asciiTheme="majorBidi" w:hAnsiTheme="majorBidi" w:cstheme="majorBidi"/>
                <w:sz w:val="20"/>
                <w:szCs w:val="20"/>
              </w:rPr>
              <w:t xml:space="preserve">. </w:t>
            </w:r>
            <w:r w:rsidRPr="00AB45D7">
              <w:rPr>
                <w:rFonts w:asciiTheme="majorBidi" w:hAnsiTheme="majorBidi" w:cstheme="majorBidi"/>
                <w:i/>
                <w:iCs/>
                <w:sz w:val="20"/>
                <w:szCs w:val="20"/>
              </w:rPr>
              <w:t>Jews in the Muslim Religious Court: Society, Economy and Communal Organization in the XIX Century Documents from Ottoman Jerusalem</w:t>
            </w:r>
            <w:r w:rsidRPr="00AB45D7">
              <w:rPr>
                <w:rFonts w:asciiTheme="majorBidi" w:hAnsiTheme="majorBidi" w:cstheme="majorBidi"/>
                <w:sz w:val="20"/>
                <w:szCs w:val="20"/>
              </w:rPr>
              <w:t xml:space="preserve">. Jerusalem: </w:t>
            </w:r>
            <w:proofErr w:type="spellStart"/>
            <w:r w:rsidRPr="00AB45D7">
              <w:rPr>
                <w:rFonts w:asciiTheme="majorBidi" w:hAnsiTheme="majorBidi" w:cstheme="majorBidi"/>
                <w:sz w:val="20"/>
                <w:szCs w:val="20"/>
              </w:rPr>
              <w:t>Yad</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Izhak</w:t>
            </w:r>
            <w:proofErr w:type="spellEnd"/>
            <w:r w:rsidRPr="00AB45D7">
              <w:rPr>
                <w:rFonts w:asciiTheme="majorBidi" w:hAnsiTheme="majorBidi" w:cstheme="majorBidi"/>
                <w:sz w:val="20"/>
                <w:szCs w:val="20"/>
              </w:rPr>
              <w:t xml:space="preserve"> Ben-</w:t>
            </w:r>
            <w:proofErr w:type="spellStart"/>
            <w:r w:rsidRPr="00AB45D7">
              <w:rPr>
                <w:rFonts w:asciiTheme="majorBidi" w:hAnsiTheme="majorBidi" w:cstheme="majorBidi"/>
                <w:sz w:val="20"/>
                <w:szCs w:val="20"/>
              </w:rPr>
              <w:t>Zvi</w:t>
            </w:r>
            <w:proofErr w:type="spellEnd"/>
            <w:r w:rsidRPr="00AB45D7">
              <w:rPr>
                <w:rFonts w:asciiTheme="majorBidi" w:hAnsiTheme="majorBidi" w:cstheme="majorBidi"/>
                <w:sz w:val="20"/>
                <w:szCs w:val="20"/>
              </w:rPr>
              <w:t xml:space="preserve"> (2003) (Hebrew).</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 xml:space="preserve">Doumani, </w:t>
            </w:r>
            <w:proofErr w:type="spellStart"/>
            <w:r w:rsidRPr="00AB45D7">
              <w:rPr>
                <w:rFonts w:asciiTheme="majorBidi" w:hAnsiTheme="majorBidi" w:cstheme="majorBidi"/>
                <w:sz w:val="20"/>
                <w:szCs w:val="20"/>
              </w:rPr>
              <w:t>Beshara</w:t>
            </w:r>
            <w:proofErr w:type="spellEnd"/>
            <w:r w:rsidRPr="00AB45D7">
              <w:rPr>
                <w:rFonts w:asciiTheme="majorBidi" w:hAnsiTheme="majorBidi" w:cstheme="majorBidi"/>
                <w:sz w:val="20"/>
                <w:szCs w:val="20"/>
              </w:rPr>
              <w:t xml:space="preserve">. </w:t>
            </w:r>
            <w:r w:rsidRPr="00AB45D7">
              <w:rPr>
                <w:rFonts w:asciiTheme="majorBidi" w:hAnsiTheme="majorBidi" w:cstheme="majorBidi"/>
                <w:i/>
                <w:iCs/>
                <w:sz w:val="20"/>
                <w:szCs w:val="20"/>
              </w:rPr>
              <w:t xml:space="preserve">Rediscovering Palestine: Merchants and Peasants in </w:t>
            </w:r>
            <w:proofErr w:type="spellStart"/>
            <w:r w:rsidRPr="00AB45D7">
              <w:rPr>
                <w:rFonts w:asciiTheme="majorBidi" w:hAnsiTheme="majorBidi" w:cstheme="majorBidi"/>
                <w:i/>
                <w:iCs/>
                <w:sz w:val="20"/>
                <w:szCs w:val="20"/>
              </w:rPr>
              <w:t>Jabal</w:t>
            </w:r>
            <w:proofErr w:type="spellEnd"/>
            <w:r w:rsidRPr="00AB45D7">
              <w:rPr>
                <w:rFonts w:asciiTheme="majorBidi" w:hAnsiTheme="majorBidi" w:cstheme="majorBidi"/>
                <w:i/>
                <w:iCs/>
                <w:sz w:val="20"/>
                <w:szCs w:val="20"/>
              </w:rPr>
              <w:t xml:space="preserve"> Nablus, 1700-1900</w:t>
            </w:r>
            <w:r w:rsidRPr="00AB45D7">
              <w:rPr>
                <w:rFonts w:asciiTheme="majorBidi" w:hAnsiTheme="majorBidi" w:cstheme="majorBidi"/>
                <w:sz w:val="20"/>
                <w:szCs w:val="20"/>
              </w:rPr>
              <w:t>. Berkeley: University of California Press (1995).</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Eisenman, Robert H. "The Young Turk Legislation, 1913-17 and Its Application in Palestine/Israel." In David Kushner ed.</w:t>
            </w:r>
            <w:r w:rsidRPr="00AB45D7">
              <w:rPr>
                <w:rFonts w:asciiTheme="majorBidi" w:hAnsiTheme="majorBidi" w:cstheme="majorBidi"/>
                <w:i/>
                <w:iCs/>
                <w:sz w:val="20"/>
                <w:szCs w:val="20"/>
              </w:rPr>
              <w:t xml:space="preserve"> Palestine in the Late Ottoman Period: Political, Social and Economic Transformation</w:t>
            </w:r>
            <w:r w:rsidRPr="00AB45D7">
              <w:rPr>
                <w:rFonts w:asciiTheme="majorBidi" w:hAnsiTheme="majorBidi" w:cstheme="majorBidi"/>
                <w:sz w:val="20"/>
                <w:szCs w:val="20"/>
              </w:rPr>
              <w:t xml:space="preserve">. Jerusalem: </w:t>
            </w:r>
            <w:proofErr w:type="spellStart"/>
            <w:r w:rsidRPr="00AB45D7">
              <w:rPr>
                <w:rFonts w:asciiTheme="majorBidi" w:hAnsiTheme="majorBidi" w:cstheme="majorBidi"/>
                <w:sz w:val="20"/>
                <w:szCs w:val="20"/>
              </w:rPr>
              <w:t>Yad</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Izhak</w:t>
            </w:r>
            <w:proofErr w:type="spellEnd"/>
            <w:r w:rsidRPr="00AB45D7">
              <w:rPr>
                <w:rFonts w:asciiTheme="majorBidi" w:hAnsiTheme="majorBidi" w:cstheme="majorBidi"/>
                <w:sz w:val="20"/>
                <w:szCs w:val="20"/>
              </w:rPr>
              <w:t xml:space="preserve"> Ben-</w:t>
            </w:r>
            <w:proofErr w:type="spellStart"/>
            <w:r w:rsidRPr="00AB45D7">
              <w:rPr>
                <w:rFonts w:asciiTheme="majorBidi" w:hAnsiTheme="majorBidi" w:cstheme="majorBidi"/>
                <w:sz w:val="20"/>
                <w:szCs w:val="20"/>
              </w:rPr>
              <w:t>Zvi</w:t>
            </w:r>
            <w:proofErr w:type="spellEnd"/>
            <w:r w:rsidRPr="00AB45D7">
              <w:rPr>
                <w:rFonts w:asciiTheme="majorBidi" w:hAnsiTheme="majorBidi" w:cstheme="majorBidi"/>
                <w:sz w:val="20"/>
                <w:szCs w:val="20"/>
              </w:rPr>
              <w:t xml:space="preserve"> (1986): 59-73.</w:t>
            </w: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i/>
                <w:iCs/>
                <w:sz w:val="20"/>
                <w:szCs w:val="20"/>
              </w:rPr>
              <w:t xml:space="preserve"> </w:t>
            </w:r>
            <w:r w:rsidRPr="00AB45D7">
              <w:rPr>
                <w:rFonts w:asciiTheme="majorBidi" w:hAnsiTheme="majorBidi" w:cstheme="majorBidi"/>
                <w:i/>
                <w:iCs/>
                <w:sz w:val="20"/>
                <w:szCs w:val="20"/>
              </w:rPr>
              <w:t xml:space="preserve">Islamic Law in Palestine and Israel: A History of the Survival of </w:t>
            </w:r>
            <w:proofErr w:type="spellStart"/>
            <w:r w:rsidRPr="00AB45D7">
              <w:rPr>
                <w:rFonts w:asciiTheme="majorBidi" w:hAnsiTheme="majorBidi" w:cstheme="majorBidi"/>
                <w:i/>
                <w:iCs/>
                <w:sz w:val="20"/>
                <w:szCs w:val="20"/>
              </w:rPr>
              <w:t>Tanzimat</w:t>
            </w:r>
            <w:proofErr w:type="spellEnd"/>
            <w:r w:rsidRPr="00AB45D7">
              <w:rPr>
                <w:rFonts w:asciiTheme="majorBidi" w:hAnsiTheme="majorBidi" w:cstheme="majorBidi"/>
                <w:i/>
                <w:iCs/>
                <w:sz w:val="20"/>
                <w:szCs w:val="20"/>
              </w:rPr>
              <w:t xml:space="preserve"> and Sharia in the British Mandate and the Jewish State</w:t>
            </w:r>
            <w:r w:rsidRPr="00AB45D7">
              <w:rPr>
                <w:rFonts w:asciiTheme="majorBidi" w:hAnsiTheme="majorBidi" w:cstheme="majorBidi"/>
                <w:sz w:val="20"/>
                <w:szCs w:val="20"/>
              </w:rPr>
              <w:t>. Leiden: E. J. Brill (1978).</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Findley, Carter V. "The Ottoman Administrative Legacy and the Modern Middle East." In L. Carl Brown ed.</w:t>
            </w:r>
            <w:r w:rsidRPr="00AB45D7">
              <w:rPr>
                <w:rFonts w:asciiTheme="majorBidi" w:hAnsiTheme="majorBidi" w:cstheme="majorBidi"/>
                <w:i/>
                <w:iCs/>
                <w:sz w:val="20"/>
                <w:szCs w:val="20"/>
              </w:rPr>
              <w:t xml:space="preserve"> Imperial Legacy: The Ottoman Imprint on the Balkans and the Middle East</w:t>
            </w:r>
            <w:r w:rsidRPr="00AB45D7">
              <w:rPr>
                <w:rFonts w:asciiTheme="majorBidi" w:hAnsiTheme="majorBidi" w:cstheme="majorBidi"/>
                <w:sz w:val="20"/>
                <w:szCs w:val="20"/>
              </w:rPr>
              <w:t>. New York: Columbia University Press (1996): 158-173.</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B66FF6">
              <w:rPr>
                <w:sz w:val="20"/>
                <w:szCs w:val="20"/>
              </w:rPr>
              <w:lastRenderedPageBreak/>
              <w:t>–––––.</w:t>
            </w:r>
            <w:r>
              <w:rPr>
                <w:rFonts w:asciiTheme="majorBidi" w:hAnsiTheme="majorBidi" w:cstheme="majorBidi"/>
                <w:sz w:val="20"/>
                <w:szCs w:val="20"/>
              </w:rPr>
              <w:t xml:space="preserve"> </w:t>
            </w:r>
            <w:r w:rsidRPr="00AB45D7">
              <w:rPr>
                <w:rFonts w:asciiTheme="majorBidi" w:hAnsiTheme="majorBidi" w:cstheme="majorBidi"/>
                <w:sz w:val="20"/>
                <w:szCs w:val="20"/>
              </w:rPr>
              <w:t>"The Evolution of the System of Provincial Administration as Viewed from the Center." In David Kushner ed.</w:t>
            </w:r>
            <w:r w:rsidRPr="00AB45D7">
              <w:rPr>
                <w:rFonts w:asciiTheme="majorBidi" w:hAnsiTheme="majorBidi" w:cstheme="majorBidi"/>
                <w:i/>
                <w:iCs/>
                <w:sz w:val="20"/>
                <w:szCs w:val="20"/>
              </w:rPr>
              <w:t xml:space="preserve"> Palestine in the Late Ottoman Period: Political, Social and Economic Transformation</w:t>
            </w:r>
            <w:r w:rsidRPr="00AB45D7">
              <w:rPr>
                <w:rFonts w:asciiTheme="majorBidi" w:hAnsiTheme="majorBidi" w:cstheme="majorBidi"/>
                <w:sz w:val="20"/>
                <w:szCs w:val="20"/>
              </w:rPr>
              <w:t xml:space="preserve">. Jerusalem: </w:t>
            </w:r>
            <w:proofErr w:type="spellStart"/>
            <w:r w:rsidRPr="00AB45D7">
              <w:rPr>
                <w:rFonts w:asciiTheme="majorBidi" w:hAnsiTheme="majorBidi" w:cstheme="majorBidi"/>
                <w:sz w:val="20"/>
                <w:szCs w:val="20"/>
              </w:rPr>
              <w:t>Yad</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Izhak</w:t>
            </w:r>
            <w:proofErr w:type="spellEnd"/>
            <w:r w:rsidRPr="00AB45D7">
              <w:rPr>
                <w:rFonts w:asciiTheme="majorBidi" w:hAnsiTheme="majorBidi" w:cstheme="majorBidi"/>
                <w:sz w:val="20"/>
                <w:szCs w:val="20"/>
              </w:rPr>
              <w:t xml:space="preserve"> Ben-</w:t>
            </w:r>
            <w:proofErr w:type="spellStart"/>
            <w:r w:rsidRPr="00AB45D7">
              <w:rPr>
                <w:rFonts w:asciiTheme="majorBidi" w:hAnsiTheme="majorBidi" w:cstheme="majorBidi"/>
                <w:sz w:val="20"/>
                <w:szCs w:val="20"/>
              </w:rPr>
              <w:t>Zvi</w:t>
            </w:r>
            <w:proofErr w:type="spellEnd"/>
            <w:r w:rsidRPr="00AB45D7">
              <w:rPr>
                <w:rFonts w:asciiTheme="majorBidi" w:hAnsiTheme="majorBidi" w:cstheme="majorBidi"/>
                <w:sz w:val="20"/>
                <w:szCs w:val="20"/>
              </w:rPr>
              <w:t xml:space="preserve"> (1986): 3-29.</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 xml:space="preserve">Firestone, </w:t>
            </w:r>
            <w:proofErr w:type="spellStart"/>
            <w:r w:rsidRPr="00AB45D7">
              <w:rPr>
                <w:rFonts w:asciiTheme="majorBidi" w:hAnsiTheme="majorBidi" w:cstheme="majorBidi"/>
                <w:sz w:val="20"/>
                <w:szCs w:val="20"/>
              </w:rPr>
              <w:t>Ya'akov</w:t>
            </w:r>
            <w:proofErr w:type="spellEnd"/>
            <w:r w:rsidRPr="00AB45D7">
              <w:rPr>
                <w:rFonts w:asciiTheme="majorBidi" w:hAnsiTheme="majorBidi" w:cstheme="majorBidi"/>
                <w:sz w:val="20"/>
                <w:szCs w:val="20"/>
              </w:rPr>
              <w:t xml:space="preserve">. "The Land-Equalizing </w:t>
            </w:r>
            <w:proofErr w:type="spellStart"/>
            <w:r w:rsidRPr="00AB45D7">
              <w:rPr>
                <w:rFonts w:asciiTheme="majorBidi" w:hAnsiTheme="majorBidi" w:cstheme="majorBidi"/>
                <w:sz w:val="20"/>
                <w:szCs w:val="20"/>
              </w:rPr>
              <w:t>Musha</w:t>
            </w:r>
            <w:proofErr w:type="spellEnd"/>
            <w:r w:rsidRPr="00AB45D7">
              <w:rPr>
                <w:rFonts w:asciiTheme="majorBidi" w:hAnsiTheme="majorBidi" w:cstheme="majorBidi"/>
                <w:sz w:val="20"/>
                <w:szCs w:val="20"/>
              </w:rPr>
              <w:t xml:space="preserve"> Village: A Reassessment." In Gad G. </w:t>
            </w:r>
            <w:proofErr w:type="spellStart"/>
            <w:r w:rsidRPr="00AB45D7">
              <w:rPr>
                <w:rFonts w:asciiTheme="majorBidi" w:hAnsiTheme="majorBidi" w:cstheme="majorBidi"/>
                <w:sz w:val="20"/>
                <w:szCs w:val="20"/>
              </w:rPr>
              <w:t>Gilbar</w:t>
            </w:r>
            <w:proofErr w:type="spellEnd"/>
            <w:r w:rsidRPr="00AB45D7">
              <w:rPr>
                <w:rFonts w:asciiTheme="majorBidi" w:hAnsiTheme="majorBidi" w:cstheme="majorBidi"/>
                <w:sz w:val="20"/>
                <w:szCs w:val="20"/>
              </w:rPr>
              <w:t xml:space="preserve"> ed. </w:t>
            </w:r>
            <w:r w:rsidRPr="00AB45D7">
              <w:rPr>
                <w:rFonts w:asciiTheme="majorBidi" w:hAnsiTheme="majorBidi" w:cstheme="majorBidi"/>
                <w:i/>
                <w:iCs/>
                <w:sz w:val="20"/>
                <w:szCs w:val="20"/>
              </w:rPr>
              <w:t>Ottoman Palestine, 1800-1914: Studies in Economic and Social History</w:t>
            </w:r>
            <w:r w:rsidRPr="00AB45D7">
              <w:rPr>
                <w:rFonts w:asciiTheme="majorBidi" w:hAnsiTheme="majorBidi" w:cstheme="majorBidi"/>
                <w:sz w:val="20"/>
                <w:szCs w:val="20"/>
              </w:rPr>
              <w:t xml:space="preserve">. Leiden: E. J. Brill (1990): 91-130. </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Fischel</w:t>
            </w:r>
            <w:proofErr w:type="spellEnd"/>
            <w:r w:rsidRPr="00AB45D7">
              <w:rPr>
                <w:rFonts w:asciiTheme="majorBidi" w:hAnsiTheme="majorBidi" w:cstheme="majorBidi"/>
                <w:sz w:val="20"/>
                <w:szCs w:val="20"/>
              </w:rPr>
              <w:t xml:space="preserve">, Roy S. and Ruth </w:t>
            </w:r>
            <w:proofErr w:type="spellStart"/>
            <w:r w:rsidRPr="00AB45D7">
              <w:rPr>
                <w:rFonts w:asciiTheme="majorBidi" w:hAnsiTheme="majorBidi" w:cstheme="majorBidi"/>
                <w:sz w:val="20"/>
                <w:szCs w:val="20"/>
              </w:rPr>
              <w:t>Kark</w:t>
            </w:r>
            <w:proofErr w:type="spellEnd"/>
            <w:r w:rsidRPr="00AB45D7">
              <w:rPr>
                <w:rFonts w:asciiTheme="majorBidi" w:hAnsiTheme="majorBidi" w:cstheme="majorBidi"/>
                <w:sz w:val="20"/>
                <w:szCs w:val="20"/>
              </w:rPr>
              <w:t xml:space="preserve">. "Sultan </w:t>
            </w:r>
            <w:proofErr w:type="spellStart"/>
            <w:r w:rsidRPr="00AB45D7">
              <w:rPr>
                <w:rFonts w:asciiTheme="majorBidi" w:hAnsiTheme="majorBidi" w:cstheme="majorBidi"/>
                <w:sz w:val="20"/>
                <w:szCs w:val="20"/>
              </w:rPr>
              <w:t>Abdülhamid</w:t>
            </w:r>
            <w:proofErr w:type="spellEnd"/>
            <w:r w:rsidRPr="00AB45D7">
              <w:rPr>
                <w:rFonts w:asciiTheme="majorBidi" w:hAnsiTheme="majorBidi" w:cstheme="majorBidi"/>
                <w:sz w:val="20"/>
                <w:szCs w:val="20"/>
              </w:rPr>
              <w:t xml:space="preserve"> II and Palestine: Private Lands and Imperial Policy." </w:t>
            </w:r>
            <w:r w:rsidRPr="00AB45D7">
              <w:rPr>
                <w:rFonts w:asciiTheme="majorBidi" w:hAnsiTheme="majorBidi" w:cstheme="majorBidi"/>
                <w:i/>
                <w:iCs/>
                <w:sz w:val="20"/>
                <w:szCs w:val="20"/>
              </w:rPr>
              <w:t>New Perspectives on Turkey</w:t>
            </w:r>
            <w:r w:rsidRPr="00AB45D7">
              <w:rPr>
                <w:rFonts w:asciiTheme="majorBidi" w:hAnsiTheme="majorBidi" w:cstheme="majorBidi"/>
                <w:sz w:val="20"/>
                <w:szCs w:val="20"/>
              </w:rPr>
              <w:t xml:space="preserve"> 39 (2008): 129-166.</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Friedmann</w:t>
            </w:r>
            <w:proofErr w:type="spellEnd"/>
            <w:r w:rsidRPr="00AB45D7">
              <w:rPr>
                <w:rFonts w:asciiTheme="majorBidi" w:hAnsiTheme="majorBidi" w:cstheme="majorBidi"/>
                <w:sz w:val="20"/>
                <w:szCs w:val="20"/>
              </w:rPr>
              <w:t>, Daniel.</w:t>
            </w:r>
            <w:r w:rsidRPr="00AB45D7">
              <w:rPr>
                <w:rFonts w:asciiTheme="majorBidi" w:hAnsiTheme="majorBidi" w:cstheme="majorBidi"/>
                <w:i/>
                <w:iCs/>
                <w:sz w:val="20"/>
                <w:szCs w:val="20"/>
              </w:rPr>
              <w:t xml:space="preserve"> Before the Revolution: Law and Politics in the Age of Innocence</w:t>
            </w:r>
            <w:r w:rsidRPr="00AB45D7">
              <w:rPr>
                <w:rFonts w:asciiTheme="majorBidi" w:hAnsiTheme="majorBidi" w:cstheme="majorBidi"/>
                <w:sz w:val="20"/>
                <w:szCs w:val="20"/>
              </w:rPr>
              <w:t xml:space="preserve">. Tel Aviv: </w:t>
            </w:r>
            <w:proofErr w:type="spellStart"/>
            <w:r w:rsidRPr="00AB45D7">
              <w:rPr>
                <w:rFonts w:asciiTheme="majorBidi" w:hAnsiTheme="majorBidi" w:cstheme="majorBidi"/>
                <w:sz w:val="20"/>
                <w:szCs w:val="20"/>
              </w:rPr>
              <w:t>Miskal</w:t>
            </w:r>
            <w:proofErr w:type="spellEnd"/>
            <w:r w:rsidRPr="00AB45D7">
              <w:rPr>
                <w:rFonts w:asciiTheme="majorBidi" w:hAnsiTheme="majorBidi" w:cstheme="majorBidi"/>
                <w:sz w:val="20"/>
                <w:szCs w:val="20"/>
              </w:rPr>
              <w:t xml:space="preserve"> - </w:t>
            </w:r>
            <w:proofErr w:type="spellStart"/>
            <w:r w:rsidRPr="00AB45D7">
              <w:rPr>
                <w:rFonts w:asciiTheme="majorBidi" w:hAnsiTheme="majorBidi" w:cstheme="majorBidi"/>
                <w:sz w:val="20"/>
                <w:szCs w:val="20"/>
              </w:rPr>
              <w:t>Yedioth</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A</w:t>
            </w:r>
            <w:r w:rsidR="001B42A1">
              <w:rPr>
                <w:rFonts w:asciiTheme="majorBidi" w:hAnsiTheme="majorBidi" w:cstheme="majorBidi"/>
                <w:sz w:val="20"/>
                <w:szCs w:val="20"/>
              </w:rPr>
              <w:t>hronoth</w:t>
            </w:r>
            <w:proofErr w:type="spellEnd"/>
            <w:r w:rsidR="001B42A1">
              <w:rPr>
                <w:rFonts w:asciiTheme="majorBidi" w:hAnsiTheme="majorBidi" w:cstheme="majorBidi"/>
                <w:sz w:val="20"/>
                <w:szCs w:val="20"/>
              </w:rPr>
              <w:t xml:space="preserve"> Books and Chemed Books </w:t>
            </w:r>
            <w:r w:rsidRPr="00AB45D7">
              <w:rPr>
                <w:rFonts w:asciiTheme="majorBidi" w:hAnsiTheme="majorBidi" w:cstheme="majorBidi"/>
                <w:sz w:val="20"/>
                <w:szCs w:val="20"/>
              </w:rPr>
              <w:t xml:space="preserve">(2015) (Hebrew).   </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The Effect of Foreign Law on the Law of Israel: Remnants of the Ottoman Period." </w:t>
            </w:r>
            <w:r w:rsidRPr="00AB45D7">
              <w:rPr>
                <w:rFonts w:asciiTheme="majorBidi" w:hAnsiTheme="majorBidi" w:cstheme="majorBidi"/>
                <w:i/>
                <w:iCs/>
                <w:sz w:val="20"/>
                <w:szCs w:val="20"/>
              </w:rPr>
              <w:t>Israel Law Review</w:t>
            </w:r>
            <w:r w:rsidRPr="00AB45D7">
              <w:rPr>
                <w:rFonts w:asciiTheme="majorBidi" w:hAnsiTheme="majorBidi" w:cstheme="majorBidi"/>
                <w:sz w:val="20"/>
                <w:szCs w:val="20"/>
              </w:rPr>
              <w:t xml:space="preserve"> 10(2) (1975): 192-206.</w:t>
            </w: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AB45D7">
              <w:rPr>
                <w:rFonts w:asciiTheme="majorBidi" w:hAnsiTheme="majorBidi" w:cstheme="majorBidi"/>
                <w:sz w:val="20"/>
                <w:szCs w:val="20"/>
              </w:rPr>
              <w:t xml:space="preserve">"Infusion of the Common Law into the Legal System of Israel." </w:t>
            </w:r>
            <w:r w:rsidRPr="00AB45D7">
              <w:rPr>
                <w:rFonts w:asciiTheme="majorBidi" w:hAnsiTheme="majorBidi" w:cstheme="majorBidi"/>
                <w:i/>
                <w:iCs/>
                <w:sz w:val="20"/>
                <w:szCs w:val="20"/>
              </w:rPr>
              <w:t>Israel Law Review</w:t>
            </w:r>
            <w:r w:rsidRPr="00AB45D7">
              <w:rPr>
                <w:rFonts w:asciiTheme="majorBidi" w:hAnsiTheme="majorBidi" w:cstheme="majorBidi"/>
                <w:sz w:val="20"/>
                <w:szCs w:val="20"/>
              </w:rPr>
              <w:t xml:space="preserve"> 10(3) (1975): 324-377. </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Friedman, Isaiah. "The System of Capitulations and Its Effects on Turco-Jewish Relations in Palestine, 1856-1897." In David Kushner ed.</w:t>
            </w:r>
            <w:r w:rsidRPr="00AB45D7">
              <w:rPr>
                <w:rFonts w:asciiTheme="majorBidi" w:hAnsiTheme="majorBidi" w:cstheme="majorBidi"/>
                <w:i/>
                <w:iCs/>
                <w:sz w:val="20"/>
                <w:szCs w:val="20"/>
              </w:rPr>
              <w:t xml:space="preserve"> Palestine in the Late Ottoman Period: Political, Social and Economic Transformation</w:t>
            </w:r>
            <w:r w:rsidRPr="00AB45D7">
              <w:rPr>
                <w:rFonts w:asciiTheme="majorBidi" w:hAnsiTheme="majorBidi" w:cstheme="majorBidi"/>
                <w:sz w:val="20"/>
                <w:szCs w:val="20"/>
              </w:rPr>
              <w:t xml:space="preserve">. Jerusalem: </w:t>
            </w:r>
            <w:proofErr w:type="spellStart"/>
            <w:r w:rsidRPr="00AB45D7">
              <w:rPr>
                <w:rFonts w:asciiTheme="majorBidi" w:hAnsiTheme="majorBidi" w:cstheme="majorBidi"/>
                <w:sz w:val="20"/>
                <w:szCs w:val="20"/>
              </w:rPr>
              <w:t>Yad</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Izhak</w:t>
            </w:r>
            <w:proofErr w:type="spellEnd"/>
            <w:r w:rsidRPr="00AB45D7">
              <w:rPr>
                <w:rFonts w:asciiTheme="majorBidi" w:hAnsiTheme="majorBidi" w:cstheme="majorBidi"/>
                <w:sz w:val="20"/>
                <w:szCs w:val="20"/>
              </w:rPr>
              <w:t xml:space="preserve"> Ben-</w:t>
            </w:r>
            <w:proofErr w:type="spellStart"/>
            <w:r w:rsidRPr="00AB45D7">
              <w:rPr>
                <w:rFonts w:asciiTheme="majorBidi" w:hAnsiTheme="majorBidi" w:cstheme="majorBidi"/>
                <w:sz w:val="20"/>
                <w:szCs w:val="20"/>
              </w:rPr>
              <w:t>Zvi</w:t>
            </w:r>
            <w:proofErr w:type="spellEnd"/>
            <w:r w:rsidRPr="00AB45D7">
              <w:rPr>
                <w:rFonts w:asciiTheme="majorBidi" w:hAnsiTheme="majorBidi" w:cstheme="majorBidi"/>
                <w:sz w:val="20"/>
                <w:szCs w:val="20"/>
              </w:rPr>
              <w:t xml:space="preserve"> (1986): 280-293. </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 xml:space="preserve">Gerber, Haim. </w:t>
            </w:r>
            <w:r w:rsidRPr="00AB45D7">
              <w:rPr>
                <w:rFonts w:asciiTheme="majorBidi" w:hAnsiTheme="majorBidi" w:cstheme="majorBidi"/>
                <w:i/>
                <w:iCs/>
                <w:sz w:val="20"/>
                <w:szCs w:val="20"/>
              </w:rPr>
              <w:t>Crossing Borders: Jews and Muslims in Ottoman Law, Economy and Society</w:t>
            </w:r>
            <w:r w:rsidRPr="00AB45D7">
              <w:rPr>
                <w:rFonts w:asciiTheme="majorBidi" w:hAnsiTheme="majorBidi" w:cstheme="majorBidi"/>
                <w:sz w:val="20"/>
                <w:szCs w:val="20"/>
              </w:rPr>
              <w:t xml:space="preserve">. Istanbul: Isis Press (2008). </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"A New Look at the </w:t>
            </w:r>
            <w:proofErr w:type="spellStart"/>
            <w:r w:rsidRPr="00AB45D7">
              <w:rPr>
                <w:rFonts w:asciiTheme="majorBidi" w:hAnsiTheme="majorBidi" w:cstheme="majorBidi"/>
                <w:sz w:val="20"/>
                <w:szCs w:val="20"/>
              </w:rPr>
              <w:t>Tanzimat</w:t>
            </w:r>
            <w:proofErr w:type="spellEnd"/>
            <w:r w:rsidRPr="00AB45D7">
              <w:rPr>
                <w:rFonts w:asciiTheme="majorBidi" w:hAnsiTheme="majorBidi" w:cstheme="majorBidi"/>
                <w:sz w:val="20"/>
                <w:szCs w:val="20"/>
              </w:rPr>
              <w:t xml:space="preserve">: The Case of the Province of Jerusalem." In David Kushner ed. </w:t>
            </w:r>
            <w:r w:rsidRPr="00AB45D7">
              <w:rPr>
                <w:rFonts w:asciiTheme="majorBidi" w:hAnsiTheme="majorBidi" w:cstheme="majorBidi"/>
                <w:i/>
                <w:iCs/>
                <w:sz w:val="20"/>
                <w:szCs w:val="20"/>
              </w:rPr>
              <w:t>Palestine in the Late Ottoman Period: Political, Social and Economic Transformation</w:t>
            </w:r>
            <w:r w:rsidRPr="00AB45D7">
              <w:rPr>
                <w:rFonts w:asciiTheme="majorBidi" w:hAnsiTheme="majorBidi" w:cstheme="majorBidi"/>
                <w:sz w:val="20"/>
                <w:szCs w:val="20"/>
              </w:rPr>
              <w:t xml:space="preserve">. Jerusalem: </w:t>
            </w:r>
            <w:proofErr w:type="spellStart"/>
            <w:r w:rsidRPr="00AB45D7">
              <w:rPr>
                <w:rFonts w:asciiTheme="majorBidi" w:hAnsiTheme="majorBidi" w:cstheme="majorBidi"/>
                <w:sz w:val="20"/>
                <w:szCs w:val="20"/>
              </w:rPr>
              <w:t>Yad</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Izhak</w:t>
            </w:r>
            <w:proofErr w:type="spellEnd"/>
            <w:r w:rsidRPr="00AB45D7">
              <w:rPr>
                <w:rFonts w:asciiTheme="majorBidi" w:hAnsiTheme="majorBidi" w:cstheme="majorBidi"/>
                <w:sz w:val="20"/>
                <w:szCs w:val="20"/>
              </w:rPr>
              <w:t xml:space="preserve"> Ben-</w:t>
            </w:r>
            <w:proofErr w:type="spellStart"/>
            <w:r w:rsidRPr="00AB45D7">
              <w:rPr>
                <w:rFonts w:asciiTheme="majorBidi" w:hAnsiTheme="majorBidi" w:cstheme="majorBidi"/>
                <w:sz w:val="20"/>
                <w:szCs w:val="20"/>
              </w:rPr>
              <w:t>Zvi</w:t>
            </w:r>
            <w:proofErr w:type="spellEnd"/>
            <w:r w:rsidRPr="00AB45D7">
              <w:rPr>
                <w:rFonts w:asciiTheme="majorBidi" w:hAnsiTheme="majorBidi" w:cstheme="majorBidi"/>
                <w:sz w:val="20"/>
                <w:szCs w:val="20"/>
              </w:rPr>
              <w:t xml:space="preserve"> (1986): 30-45.</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AB45D7">
              <w:rPr>
                <w:rFonts w:asciiTheme="majorBidi" w:hAnsiTheme="majorBidi" w:cstheme="majorBidi"/>
                <w:i/>
                <w:iCs/>
                <w:sz w:val="20"/>
                <w:szCs w:val="20"/>
              </w:rPr>
              <w:t>Ottoman Rule in Jerusalem, 1890-1914</w:t>
            </w:r>
            <w:r w:rsidRPr="00AB45D7">
              <w:rPr>
                <w:rFonts w:asciiTheme="majorBidi" w:hAnsiTheme="majorBidi" w:cstheme="majorBidi"/>
                <w:sz w:val="20"/>
                <w:szCs w:val="20"/>
              </w:rPr>
              <w:t xml:space="preserve">. Berlin: K. Schwarz (1985). </w:t>
            </w: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"The Ottoman Administration of </w:t>
            </w:r>
            <w:proofErr w:type="spellStart"/>
            <w:r w:rsidRPr="00AB45D7">
              <w:rPr>
                <w:rFonts w:asciiTheme="majorBidi" w:hAnsiTheme="majorBidi" w:cstheme="majorBidi"/>
                <w:sz w:val="20"/>
                <w:szCs w:val="20"/>
              </w:rPr>
              <w:t>Sanjak</w:t>
            </w:r>
            <w:proofErr w:type="spellEnd"/>
            <w:r w:rsidRPr="00AB45D7">
              <w:rPr>
                <w:rFonts w:asciiTheme="majorBidi" w:hAnsiTheme="majorBidi" w:cstheme="majorBidi"/>
                <w:sz w:val="20"/>
                <w:szCs w:val="20"/>
              </w:rPr>
              <w:t xml:space="preserve"> of Jerusalem, 1890-1980." </w:t>
            </w:r>
            <w:r w:rsidRPr="00AB45D7">
              <w:rPr>
                <w:rFonts w:asciiTheme="majorBidi" w:hAnsiTheme="majorBidi" w:cstheme="majorBidi"/>
                <w:i/>
                <w:iCs/>
                <w:sz w:val="20"/>
                <w:szCs w:val="20"/>
              </w:rPr>
              <w:t>The New East</w:t>
            </w:r>
            <w:r w:rsidRPr="00AB45D7">
              <w:rPr>
                <w:rFonts w:asciiTheme="majorBidi" w:hAnsiTheme="majorBidi" w:cstheme="majorBidi"/>
                <w:sz w:val="20"/>
                <w:szCs w:val="20"/>
              </w:rPr>
              <w:t xml:space="preserve"> 24 (1974): 1-33 (Hebrew).</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Harris, Ron. "The Fall and Rise of Imprisonment for Debt."</w:t>
            </w:r>
            <w:r w:rsidRPr="00AB45D7">
              <w:rPr>
                <w:rFonts w:asciiTheme="majorBidi" w:hAnsiTheme="majorBidi" w:cstheme="majorBidi"/>
                <w:i/>
                <w:iCs/>
                <w:sz w:val="20"/>
                <w:szCs w:val="20"/>
              </w:rPr>
              <w:t xml:space="preserve"> Tel Aviv University Law Review</w:t>
            </w:r>
            <w:r w:rsidRPr="00AB45D7">
              <w:rPr>
                <w:rFonts w:asciiTheme="majorBidi" w:hAnsiTheme="majorBidi" w:cstheme="majorBidi"/>
                <w:sz w:val="20"/>
                <w:szCs w:val="20"/>
              </w:rPr>
              <w:t xml:space="preserve"> 20(2) (1997): 439-509 (Hebrew).</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 xml:space="preserve">Harris Ron, </w:t>
            </w:r>
            <w:proofErr w:type="spellStart"/>
            <w:r w:rsidRPr="00AB45D7">
              <w:rPr>
                <w:rFonts w:asciiTheme="majorBidi" w:hAnsiTheme="majorBidi" w:cstheme="majorBidi"/>
                <w:sz w:val="20"/>
                <w:szCs w:val="20"/>
              </w:rPr>
              <w:t>Assaf</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Likhovski</w:t>
            </w:r>
            <w:proofErr w:type="spellEnd"/>
            <w:r w:rsidRPr="00AB45D7">
              <w:rPr>
                <w:rFonts w:asciiTheme="majorBidi" w:hAnsiTheme="majorBidi" w:cstheme="majorBidi"/>
                <w:sz w:val="20"/>
                <w:szCs w:val="20"/>
              </w:rPr>
              <w:t xml:space="preserve"> and Alexandre (Sandy) </w:t>
            </w:r>
            <w:proofErr w:type="spellStart"/>
            <w:r w:rsidRPr="00AB45D7">
              <w:rPr>
                <w:rFonts w:asciiTheme="majorBidi" w:hAnsiTheme="majorBidi" w:cstheme="majorBidi"/>
                <w:sz w:val="20"/>
                <w:szCs w:val="20"/>
              </w:rPr>
              <w:t>Kedar</w:t>
            </w:r>
            <w:proofErr w:type="spellEnd"/>
            <w:r w:rsidRPr="00AB45D7">
              <w:rPr>
                <w:rFonts w:asciiTheme="majorBidi" w:hAnsiTheme="majorBidi" w:cstheme="majorBidi"/>
                <w:sz w:val="20"/>
                <w:szCs w:val="20"/>
              </w:rPr>
              <w:t>. "Between Law and History: On the Historiography of Israeli Law."</w:t>
            </w:r>
            <w:r w:rsidRPr="00AB45D7">
              <w:rPr>
                <w:rFonts w:asciiTheme="majorBidi" w:hAnsiTheme="majorBidi" w:cstheme="majorBidi"/>
                <w:i/>
                <w:iCs/>
                <w:sz w:val="20"/>
                <w:szCs w:val="20"/>
              </w:rPr>
              <w:t xml:space="preserve"> Tel Aviv University Law Review</w:t>
            </w:r>
            <w:r w:rsidRPr="00AB45D7">
              <w:rPr>
                <w:rFonts w:asciiTheme="majorBidi" w:hAnsiTheme="majorBidi" w:cstheme="majorBidi"/>
                <w:sz w:val="20"/>
                <w:szCs w:val="20"/>
              </w:rPr>
              <w:t xml:space="preserve"> 26(2) (2002): 351-389 (Hebrew). </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Japhet-Bialik</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Shlomit</w:t>
            </w:r>
            <w:proofErr w:type="spellEnd"/>
            <w:r w:rsidRPr="00AB45D7">
              <w:rPr>
                <w:rFonts w:asciiTheme="majorBidi" w:hAnsiTheme="majorBidi" w:cstheme="majorBidi"/>
                <w:sz w:val="20"/>
                <w:szCs w:val="20"/>
              </w:rPr>
              <w:t xml:space="preserve">. </w:t>
            </w:r>
            <w:r w:rsidRPr="00AB45D7">
              <w:rPr>
                <w:rFonts w:asciiTheme="majorBidi" w:hAnsiTheme="majorBidi" w:cstheme="majorBidi"/>
                <w:i/>
                <w:iCs/>
                <w:sz w:val="20"/>
                <w:szCs w:val="20"/>
              </w:rPr>
              <w:t>Tenant Protection 1910-1940: Law, Society and Politics in Early History and Development of the City of Tel Aviv</w:t>
            </w:r>
            <w:r w:rsidRPr="00AB45D7">
              <w:rPr>
                <w:rFonts w:asciiTheme="majorBidi" w:hAnsiTheme="majorBidi" w:cstheme="majorBidi"/>
                <w:sz w:val="20"/>
                <w:szCs w:val="20"/>
              </w:rPr>
              <w:t xml:space="preserve"> (2006) (unpublished LL.M. thesis, Tel Aviv University) (Hebrew). </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Kark</w:t>
            </w:r>
            <w:proofErr w:type="spellEnd"/>
            <w:r w:rsidRPr="00AB45D7">
              <w:rPr>
                <w:rFonts w:asciiTheme="majorBidi" w:hAnsiTheme="majorBidi" w:cstheme="majorBidi"/>
                <w:sz w:val="20"/>
                <w:szCs w:val="20"/>
              </w:rPr>
              <w:t xml:space="preserve">, Ruth. "Consequences of the Ottoman Land Law: Agrarian and Privatization Processes in Palestine, 1858-1918." In </w:t>
            </w:r>
            <w:proofErr w:type="spellStart"/>
            <w:r w:rsidRPr="00AB45D7">
              <w:rPr>
                <w:rFonts w:asciiTheme="majorBidi" w:hAnsiTheme="majorBidi" w:cstheme="majorBidi"/>
                <w:sz w:val="20"/>
                <w:szCs w:val="20"/>
              </w:rPr>
              <w:t>Raghubir</w:t>
            </w:r>
            <w:proofErr w:type="spellEnd"/>
            <w:r w:rsidRPr="00AB45D7">
              <w:rPr>
                <w:rFonts w:asciiTheme="majorBidi" w:hAnsiTheme="majorBidi" w:cstheme="majorBidi"/>
                <w:sz w:val="20"/>
                <w:szCs w:val="20"/>
              </w:rPr>
              <w:t xml:space="preserve"> Chand, Etienne </w:t>
            </w:r>
            <w:proofErr w:type="spellStart"/>
            <w:r w:rsidRPr="00AB45D7">
              <w:rPr>
                <w:rFonts w:asciiTheme="majorBidi" w:hAnsiTheme="majorBidi" w:cstheme="majorBidi"/>
                <w:sz w:val="20"/>
                <w:szCs w:val="20"/>
              </w:rPr>
              <w:t>Nel</w:t>
            </w:r>
            <w:proofErr w:type="spellEnd"/>
            <w:r w:rsidRPr="00AB45D7">
              <w:rPr>
                <w:rFonts w:asciiTheme="majorBidi" w:hAnsiTheme="majorBidi" w:cstheme="majorBidi"/>
                <w:sz w:val="20"/>
                <w:szCs w:val="20"/>
              </w:rPr>
              <w:t xml:space="preserve"> and </w:t>
            </w:r>
            <w:proofErr w:type="spellStart"/>
            <w:r w:rsidRPr="00AB45D7">
              <w:rPr>
                <w:rFonts w:asciiTheme="majorBidi" w:hAnsiTheme="majorBidi" w:cstheme="majorBidi"/>
                <w:sz w:val="20"/>
                <w:szCs w:val="20"/>
              </w:rPr>
              <w:t>Stanko</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Pelc</w:t>
            </w:r>
            <w:proofErr w:type="spellEnd"/>
            <w:r w:rsidRPr="00AB45D7">
              <w:rPr>
                <w:rFonts w:asciiTheme="majorBidi" w:hAnsiTheme="majorBidi" w:cstheme="majorBidi"/>
                <w:sz w:val="20"/>
                <w:szCs w:val="20"/>
              </w:rPr>
              <w:t xml:space="preserve"> eds.</w:t>
            </w:r>
            <w:r w:rsidRPr="00AB45D7">
              <w:rPr>
                <w:rFonts w:asciiTheme="majorBidi" w:hAnsiTheme="majorBidi" w:cstheme="majorBidi"/>
                <w:i/>
                <w:iCs/>
                <w:sz w:val="20"/>
                <w:szCs w:val="20"/>
              </w:rPr>
              <w:t xml:space="preserve"> Societies, Social Inequalities and Marginalization: Marginal Regions in the 21st Century</w:t>
            </w:r>
            <w:r w:rsidRPr="00AB45D7">
              <w:rPr>
                <w:rFonts w:asciiTheme="majorBidi" w:hAnsiTheme="majorBidi" w:cstheme="majorBidi"/>
                <w:sz w:val="20"/>
                <w:szCs w:val="20"/>
              </w:rPr>
              <w:t xml:space="preserve">. Cham: Springer International Publishing AG (2017): 101-119. </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"Land Purchase and Mapping in a Mid-nineteenth-Century Palestinian Village." </w:t>
            </w:r>
            <w:r w:rsidRPr="00AB45D7">
              <w:rPr>
                <w:rFonts w:asciiTheme="majorBidi" w:hAnsiTheme="majorBidi" w:cstheme="majorBidi"/>
                <w:i/>
                <w:iCs/>
                <w:sz w:val="20"/>
                <w:szCs w:val="20"/>
              </w:rPr>
              <w:t>The Palestine Exploration Quarterly</w:t>
            </w:r>
            <w:r w:rsidRPr="00AB45D7">
              <w:rPr>
                <w:rFonts w:asciiTheme="majorBidi" w:hAnsiTheme="majorBidi" w:cstheme="majorBidi"/>
                <w:sz w:val="20"/>
                <w:szCs w:val="20"/>
              </w:rPr>
              <w:t xml:space="preserve"> 129(2) (1997): 150-161.</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i/>
                <w:iCs/>
                <w:sz w:val="20"/>
                <w:szCs w:val="20"/>
              </w:rPr>
              <w:t xml:space="preserve"> </w:t>
            </w:r>
            <w:r w:rsidRPr="00AB45D7">
              <w:rPr>
                <w:rFonts w:asciiTheme="majorBidi" w:hAnsiTheme="majorBidi" w:cstheme="majorBidi"/>
                <w:i/>
                <w:iCs/>
                <w:sz w:val="20"/>
                <w:szCs w:val="20"/>
              </w:rPr>
              <w:t>American Consuls in the Holy Land, 1832-1914</w:t>
            </w:r>
            <w:r w:rsidRPr="00AB45D7">
              <w:rPr>
                <w:rFonts w:asciiTheme="majorBidi" w:hAnsiTheme="majorBidi" w:cstheme="majorBidi"/>
                <w:sz w:val="20"/>
                <w:szCs w:val="20"/>
              </w:rPr>
              <w:t xml:space="preserve">. Detroit: Wayne State University Press; Jerusalem: The Hebrew University </w:t>
            </w:r>
            <w:proofErr w:type="spellStart"/>
            <w:r w:rsidRPr="00AB45D7">
              <w:rPr>
                <w:rFonts w:asciiTheme="majorBidi" w:hAnsiTheme="majorBidi" w:cstheme="majorBidi"/>
                <w:sz w:val="20"/>
                <w:szCs w:val="20"/>
              </w:rPr>
              <w:t>Magnes</w:t>
            </w:r>
            <w:proofErr w:type="spellEnd"/>
            <w:r w:rsidRPr="00AB45D7">
              <w:rPr>
                <w:rFonts w:asciiTheme="majorBidi" w:hAnsiTheme="majorBidi" w:cstheme="majorBidi"/>
                <w:sz w:val="20"/>
                <w:szCs w:val="20"/>
              </w:rPr>
              <w:t xml:space="preserve"> Press (1994). </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lastRenderedPageBreak/>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"A Communication: Ottoman Policy and U.S. Attitudes Regarding Land Purchase and Settlement of American Jews in Palestine." </w:t>
            </w:r>
            <w:r w:rsidRPr="00AB45D7">
              <w:rPr>
                <w:rFonts w:asciiTheme="majorBidi" w:hAnsiTheme="majorBidi" w:cstheme="majorBidi"/>
                <w:i/>
                <w:iCs/>
                <w:sz w:val="20"/>
                <w:szCs w:val="20"/>
              </w:rPr>
              <w:t>Studies in Zionism</w:t>
            </w:r>
            <w:r w:rsidRPr="00AB45D7">
              <w:rPr>
                <w:rFonts w:asciiTheme="majorBidi" w:hAnsiTheme="majorBidi" w:cstheme="majorBidi"/>
                <w:sz w:val="20"/>
                <w:szCs w:val="20"/>
              </w:rPr>
              <w:t xml:space="preserve"> 14(2) (1993): 211-218.</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AB45D7">
              <w:rPr>
                <w:rFonts w:asciiTheme="majorBidi" w:hAnsiTheme="majorBidi" w:cstheme="majorBidi"/>
                <w:i/>
                <w:iCs/>
                <w:sz w:val="20"/>
                <w:szCs w:val="20"/>
              </w:rPr>
              <w:t>Jerusalem Neighborhoods, Planning and By-Laws</w:t>
            </w:r>
            <w:r w:rsidRPr="00AB45D7">
              <w:rPr>
                <w:rFonts w:asciiTheme="majorBidi" w:hAnsiTheme="majorBidi" w:cstheme="majorBidi"/>
                <w:sz w:val="20"/>
                <w:szCs w:val="20"/>
              </w:rPr>
              <w:t xml:space="preserve"> </w:t>
            </w:r>
            <w:r w:rsidRPr="00AB45D7">
              <w:rPr>
                <w:rFonts w:asciiTheme="majorBidi" w:hAnsiTheme="majorBidi" w:cstheme="majorBidi"/>
                <w:i/>
                <w:iCs/>
                <w:sz w:val="20"/>
                <w:szCs w:val="20"/>
              </w:rPr>
              <w:t>(1855-1930)</w:t>
            </w:r>
            <w:r w:rsidRPr="00AB45D7">
              <w:rPr>
                <w:rFonts w:asciiTheme="majorBidi" w:hAnsiTheme="majorBidi" w:cstheme="majorBidi"/>
                <w:sz w:val="20"/>
                <w:szCs w:val="20"/>
              </w:rPr>
              <w:t xml:space="preserve">. Jerusalem: The Hebrew University </w:t>
            </w:r>
            <w:proofErr w:type="spellStart"/>
            <w:r w:rsidRPr="00AB45D7">
              <w:rPr>
                <w:rFonts w:asciiTheme="majorBidi" w:hAnsiTheme="majorBidi" w:cstheme="majorBidi"/>
                <w:sz w:val="20"/>
                <w:szCs w:val="20"/>
              </w:rPr>
              <w:t>Magnes</w:t>
            </w:r>
            <w:proofErr w:type="spellEnd"/>
            <w:r w:rsidRPr="00AB45D7">
              <w:rPr>
                <w:rFonts w:asciiTheme="majorBidi" w:hAnsiTheme="majorBidi" w:cstheme="majorBidi"/>
                <w:sz w:val="20"/>
                <w:szCs w:val="20"/>
              </w:rPr>
              <w:t xml:space="preserve"> Press (1991). </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AB45D7">
              <w:rPr>
                <w:rFonts w:asciiTheme="majorBidi" w:hAnsiTheme="majorBidi" w:cstheme="majorBidi"/>
                <w:sz w:val="20"/>
                <w:szCs w:val="20"/>
              </w:rPr>
              <w:t xml:space="preserve">"Land Purchase and Registration by German-American Templers in Nineteenth Century Haifa." </w:t>
            </w:r>
            <w:r w:rsidRPr="00AB45D7">
              <w:rPr>
                <w:rFonts w:asciiTheme="majorBidi" w:hAnsiTheme="majorBidi" w:cstheme="majorBidi"/>
                <w:i/>
                <w:iCs/>
                <w:sz w:val="20"/>
                <w:szCs w:val="20"/>
              </w:rPr>
              <w:t>International Journal of Turkish Studies</w:t>
            </w:r>
            <w:r w:rsidRPr="00AB45D7">
              <w:rPr>
                <w:rFonts w:asciiTheme="majorBidi" w:hAnsiTheme="majorBidi" w:cstheme="majorBidi"/>
                <w:sz w:val="20"/>
                <w:szCs w:val="20"/>
              </w:rPr>
              <w:t xml:space="preserve"> 5(1/2) (1990): 71-82.</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"Land-God-Man: Concepts of Land Ownership and Redemption in Traditional Cultures in </w:t>
            </w:r>
            <w:proofErr w:type="spellStart"/>
            <w:r w:rsidRPr="00AB45D7">
              <w:rPr>
                <w:rFonts w:asciiTheme="majorBidi" w:hAnsiTheme="majorBidi" w:cstheme="majorBidi"/>
                <w:sz w:val="20"/>
                <w:szCs w:val="20"/>
              </w:rPr>
              <w:t>Eretz</w:t>
            </w:r>
            <w:proofErr w:type="spellEnd"/>
            <w:r w:rsidRPr="00AB45D7">
              <w:rPr>
                <w:rFonts w:asciiTheme="majorBidi" w:hAnsiTheme="majorBidi" w:cstheme="majorBidi"/>
                <w:sz w:val="20"/>
                <w:szCs w:val="20"/>
              </w:rPr>
              <w:t xml:space="preserve"> Israel." </w:t>
            </w:r>
            <w:r w:rsidRPr="00AB45D7">
              <w:rPr>
                <w:rFonts w:asciiTheme="majorBidi" w:hAnsiTheme="majorBidi" w:cstheme="majorBidi"/>
                <w:i/>
                <w:iCs/>
                <w:sz w:val="20"/>
                <w:szCs w:val="20"/>
              </w:rPr>
              <w:t>Horizons in Geography</w:t>
            </w:r>
            <w:r w:rsidRPr="00AB45D7">
              <w:rPr>
                <w:rFonts w:asciiTheme="majorBidi" w:hAnsiTheme="majorBidi" w:cstheme="majorBidi"/>
                <w:sz w:val="20"/>
                <w:szCs w:val="20"/>
              </w:rPr>
              <w:t xml:space="preserve"> 28-29 (1989/90): 45-64 (Hebrew). [Republished in </w:t>
            </w:r>
            <w:r w:rsidRPr="00AB45D7">
              <w:rPr>
                <w:rFonts w:asciiTheme="majorBidi" w:hAnsiTheme="majorBidi" w:cstheme="majorBidi"/>
                <w:i/>
                <w:iCs/>
                <w:sz w:val="20"/>
                <w:szCs w:val="20"/>
              </w:rPr>
              <w:t xml:space="preserve">Land </w:t>
            </w:r>
            <w:r w:rsidRPr="00AB45D7">
              <w:rPr>
                <w:rFonts w:asciiTheme="majorBidi" w:hAnsiTheme="majorBidi" w:cstheme="majorBidi"/>
                <w:sz w:val="20"/>
                <w:szCs w:val="20"/>
              </w:rPr>
              <w:t>31 (1989): 23-35 (Hebrew)].</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AB45D7">
              <w:rPr>
                <w:rFonts w:asciiTheme="majorBidi" w:hAnsiTheme="majorBidi" w:cstheme="majorBidi"/>
                <w:sz w:val="20"/>
                <w:szCs w:val="20"/>
              </w:rPr>
              <w:t xml:space="preserve">"Historical Sites – Perception and Land Purchase: The Case of </w:t>
            </w:r>
            <w:proofErr w:type="spellStart"/>
            <w:r w:rsidRPr="00AB45D7">
              <w:rPr>
                <w:rFonts w:asciiTheme="majorBidi" w:hAnsiTheme="majorBidi" w:cstheme="majorBidi"/>
                <w:sz w:val="20"/>
                <w:szCs w:val="20"/>
              </w:rPr>
              <w:t>Modi'in</w:t>
            </w:r>
            <w:proofErr w:type="spellEnd"/>
            <w:r w:rsidRPr="00AB45D7">
              <w:rPr>
                <w:rFonts w:asciiTheme="majorBidi" w:hAnsiTheme="majorBidi" w:cstheme="majorBidi"/>
                <w:sz w:val="20"/>
                <w:szCs w:val="20"/>
              </w:rPr>
              <w:t xml:space="preserve">, 1882–1931." </w:t>
            </w:r>
            <w:r w:rsidRPr="00AB45D7">
              <w:rPr>
                <w:rFonts w:asciiTheme="majorBidi" w:hAnsiTheme="majorBidi" w:cstheme="majorBidi"/>
                <w:i/>
                <w:iCs/>
                <w:sz w:val="20"/>
                <w:szCs w:val="20"/>
              </w:rPr>
              <w:t>Studies in Zionism</w:t>
            </w:r>
            <w:r w:rsidRPr="00AB45D7">
              <w:rPr>
                <w:rFonts w:asciiTheme="majorBidi" w:hAnsiTheme="majorBidi" w:cstheme="majorBidi"/>
                <w:sz w:val="20"/>
                <w:szCs w:val="20"/>
              </w:rPr>
              <w:t xml:space="preserve"> 9(1) (1988): 1-17.</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"Land Purchase by Montefiore in Palestine – Legal, Political and Economic Aspects." In </w:t>
            </w:r>
            <w:proofErr w:type="spellStart"/>
            <w:r w:rsidRPr="00AB45D7">
              <w:rPr>
                <w:rFonts w:asciiTheme="majorBidi" w:hAnsiTheme="majorBidi" w:cstheme="majorBidi"/>
                <w:sz w:val="20"/>
                <w:szCs w:val="20"/>
              </w:rPr>
              <w:t>Yehoshua</w:t>
            </w:r>
            <w:proofErr w:type="spellEnd"/>
            <w:r w:rsidRPr="00AB45D7">
              <w:rPr>
                <w:rFonts w:asciiTheme="majorBidi" w:hAnsiTheme="majorBidi" w:cstheme="majorBidi"/>
                <w:sz w:val="20"/>
                <w:szCs w:val="20"/>
              </w:rPr>
              <w:t xml:space="preserve"> Ben-</w:t>
            </w:r>
            <w:proofErr w:type="spellStart"/>
            <w:r w:rsidRPr="00AB45D7">
              <w:rPr>
                <w:rFonts w:asciiTheme="majorBidi" w:hAnsiTheme="majorBidi" w:cstheme="majorBidi"/>
                <w:sz w:val="20"/>
                <w:szCs w:val="20"/>
              </w:rPr>
              <w:t>Arieh</w:t>
            </w:r>
            <w:proofErr w:type="spellEnd"/>
            <w:r w:rsidRPr="00AB45D7">
              <w:rPr>
                <w:rFonts w:asciiTheme="majorBidi" w:hAnsiTheme="majorBidi" w:cstheme="majorBidi"/>
                <w:sz w:val="20"/>
                <w:szCs w:val="20"/>
              </w:rPr>
              <w:t>, Yossi Ben-</w:t>
            </w:r>
            <w:proofErr w:type="spellStart"/>
            <w:r w:rsidRPr="00AB45D7">
              <w:rPr>
                <w:rFonts w:asciiTheme="majorBidi" w:hAnsiTheme="majorBidi" w:cstheme="majorBidi"/>
                <w:sz w:val="20"/>
                <w:szCs w:val="20"/>
              </w:rPr>
              <w:t>Artzi</w:t>
            </w:r>
            <w:proofErr w:type="spellEnd"/>
            <w:r w:rsidRPr="00AB45D7">
              <w:rPr>
                <w:rFonts w:asciiTheme="majorBidi" w:hAnsiTheme="majorBidi" w:cstheme="majorBidi"/>
                <w:sz w:val="20"/>
                <w:szCs w:val="20"/>
              </w:rPr>
              <w:t xml:space="preserve"> and Haim Goren eds. </w:t>
            </w:r>
            <w:r w:rsidRPr="00AB45D7">
              <w:rPr>
                <w:rFonts w:asciiTheme="majorBidi" w:hAnsiTheme="majorBidi" w:cstheme="majorBidi"/>
                <w:i/>
                <w:iCs/>
                <w:sz w:val="20"/>
                <w:szCs w:val="20"/>
              </w:rPr>
              <w:t xml:space="preserve">Historical-Geographical Studies in the Settlement of </w:t>
            </w:r>
            <w:proofErr w:type="spellStart"/>
            <w:r w:rsidRPr="00AB45D7">
              <w:rPr>
                <w:rFonts w:asciiTheme="majorBidi" w:hAnsiTheme="majorBidi" w:cstheme="majorBidi"/>
                <w:i/>
                <w:iCs/>
                <w:sz w:val="20"/>
                <w:szCs w:val="20"/>
              </w:rPr>
              <w:t>Eretz</w:t>
            </w:r>
            <w:proofErr w:type="spellEnd"/>
            <w:r w:rsidRPr="00AB45D7">
              <w:rPr>
                <w:rFonts w:asciiTheme="majorBidi" w:hAnsiTheme="majorBidi" w:cstheme="majorBidi"/>
                <w:i/>
                <w:iCs/>
                <w:sz w:val="20"/>
                <w:szCs w:val="20"/>
              </w:rPr>
              <w:t xml:space="preserve"> Israel</w:t>
            </w:r>
            <w:r w:rsidRPr="00AB45D7">
              <w:rPr>
                <w:rFonts w:asciiTheme="majorBidi" w:hAnsiTheme="majorBidi" w:cstheme="majorBidi"/>
                <w:sz w:val="20"/>
                <w:szCs w:val="20"/>
              </w:rPr>
              <w:t xml:space="preserve">. Jerusalem: </w:t>
            </w:r>
            <w:proofErr w:type="spellStart"/>
            <w:r w:rsidRPr="00AB45D7">
              <w:rPr>
                <w:rFonts w:asciiTheme="majorBidi" w:hAnsiTheme="majorBidi" w:cstheme="majorBidi"/>
                <w:sz w:val="20"/>
                <w:szCs w:val="20"/>
              </w:rPr>
              <w:t>Yad</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Izhak</w:t>
            </w:r>
            <w:proofErr w:type="spellEnd"/>
            <w:r w:rsidRPr="00AB45D7">
              <w:rPr>
                <w:rFonts w:asciiTheme="majorBidi" w:hAnsiTheme="majorBidi" w:cstheme="majorBidi"/>
                <w:sz w:val="20"/>
                <w:szCs w:val="20"/>
              </w:rPr>
              <w:t xml:space="preserve"> Ben-</w:t>
            </w:r>
            <w:proofErr w:type="spellStart"/>
            <w:r w:rsidRPr="00AB45D7">
              <w:rPr>
                <w:rFonts w:asciiTheme="majorBidi" w:hAnsiTheme="majorBidi" w:cstheme="majorBidi"/>
                <w:sz w:val="20"/>
                <w:szCs w:val="20"/>
              </w:rPr>
              <w:t>Zvi</w:t>
            </w:r>
            <w:proofErr w:type="spellEnd"/>
            <w:r w:rsidRPr="00AB45D7">
              <w:rPr>
                <w:rFonts w:asciiTheme="majorBidi" w:hAnsiTheme="majorBidi" w:cstheme="majorBidi"/>
                <w:sz w:val="20"/>
                <w:szCs w:val="20"/>
              </w:rPr>
              <w:t xml:space="preserve"> (1987): 34–44 (Hebrew). </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AB45D7">
              <w:rPr>
                <w:rFonts w:asciiTheme="majorBidi" w:hAnsiTheme="majorBidi" w:cstheme="majorBidi"/>
                <w:sz w:val="20"/>
                <w:szCs w:val="20"/>
              </w:rPr>
              <w:t xml:space="preserve">"Acquisition of Land in </w:t>
            </w:r>
            <w:proofErr w:type="spellStart"/>
            <w:r w:rsidRPr="00AB45D7">
              <w:rPr>
                <w:rFonts w:asciiTheme="majorBidi" w:hAnsiTheme="majorBidi" w:cstheme="majorBidi"/>
                <w:sz w:val="20"/>
                <w:szCs w:val="20"/>
              </w:rPr>
              <w:t>Emeq</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Hefer</w:t>
            </w:r>
            <w:proofErr w:type="spellEnd"/>
            <w:r w:rsidRPr="00AB45D7">
              <w:rPr>
                <w:rFonts w:asciiTheme="majorBidi" w:hAnsiTheme="majorBidi" w:cstheme="majorBidi"/>
                <w:sz w:val="20"/>
                <w:szCs w:val="20"/>
              </w:rPr>
              <w:t xml:space="preserve">, 1800-1930." </w:t>
            </w:r>
            <w:r w:rsidRPr="00AB45D7">
              <w:rPr>
                <w:rFonts w:asciiTheme="majorBidi" w:hAnsiTheme="majorBidi" w:cstheme="majorBidi"/>
                <w:i/>
                <w:iCs/>
                <w:sz w:val="20"/>
                <w:szCs w:val="20"/>
              </w:rPr>
              <w:t>Studies in the Geography of Israel</w:t>
            </w:r>
            <w:r w:rsidRPr="00AB45D7">
              <w:rPr>
                <w:rFonts w:asciiTheme="majorBidi" w:hAnsiTheme="majorBidi" w:cstheme="majorBidi"/>
                <w:sz w:val="20"/>
                <w:szCs w:val="20"/>
              </w:rPr>
              <w:t xml:space="preserve"> 12 (1986): 31-51 (Hebrew).</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"Landownership and Spatial Change in Nineteenth Century Palestine: An Overview." In M. </w:t>
            </w:r>
            <w:proofErr w:type="spellStart"/>
            <w:r w:rsidRPr="00AB45D7">
              <w:rPr>
                <w:rFonts w:asciiTheme="majorBidi" w:hAnsiTheme="majorBidi" w:cstheme="majorBidi"/>
                <w:sz w:val="20"/>
                <w:szCs w:val="20"/>
              </w:rPr>
              <w:t>Roscizewsky</w:t>
            </w:r>
            <w:proofErr w:type="spellEnd"/>
            <w:r w:rsidRPr="00AB45D7">
              <w:rPr>
                <w:rFonts w:asciiTheme="majorBidi" w:hAnsiTheme="majorBidi" w:cstheme="majorBidi"/>
                <w:sz w:val="20"/>
                <w:szCs w:val="20"/>
              </w:rPr>
              <w:t xml:space="preserve"> ed. </w:t>
            </w:r>
            <w:r w:rsidRPr="00AB45D7">
              <w:rPr>
                <w:rFonts w:asciiTheme="majorBidi" w:hAnsiTheme="majorBidi" w:cstheme="majorBidi"/>
                <w:i/>
                <w:iCs/>
                <w:sz w:val="20"/>
                <w:szCs w:val="20"/>
              </w:rPr>
              <w:t>Transition from Spontaneous to Regulated Spatial Organization</w:t>
            </w:r>
            <w:r w:rsidRPr="00AB45D7">
              <w:rPr>
                <w:rFonts w:asciiTheme="majorBidi" w:hAnsiTheme="majorBidi" w:cstheme="majorBidi"/>
                <w:sz w:val="20"/>
                <w:szCs w:val="20"/>
              </w:rPr>
              <w:t>. Warsaw: Polish Academy of Sciences (1984): 183-196.</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AB45D7">
              <w:rPr>
                <w:rFonts w:asciiTheme="majorBidi" w:hAnsiTheme="majorBidi" w:cstheme="majorBidi"/>
                <w:sz w:val="20"/>
                <w:szCs w:val="20"/>
              </w:rPr>
              <w:t xml:space="preserve">"Land Acquisition and New Agricultural Settlements in Palestine During the </w:t>
            </w:r>
            <w:proofErr w:type="spellStart"/>
            <w:r w:rsidRPr="00AB45D7">
              <w:rPr>
                <w:rFonts w:asciiTheme="majorBidi" w:hAnsiTheme="majorBidi" w:cstheme="majorBidi"/>
                <w:sz w:val="20"/>
                <w:szCs w:val="20"/>
              </w:rPr>
              <w:t>Tyomkin</w:t>
            </w:r>
            <w:proofErr w:type="spellEnd"/>
            <w:r w:rsidRPr="00AB45D7">
              <w:rPr>
                <w:rFonts w:asciiTheme="majorBidi" w:hAnsiTheme="majorBidi" w:cstheme="majorBidi"/>
                <w:sz w:val="20"/>
                <w:szCs w:val="20"/>
              </w:rPr>
              <w:t xml:space="preserve"> Period, 1890-1892."</w:t>
            </w:r>
            <w:r w:rsidRPr="00AB45D7">
              <w:rPr>
                <w:rFonts w:asciiTheme="majorBidi" w:hAnsiTheme="majorBidi" w:cstheme="majorBidi"/>
                <w:i/>
                <w:iCs/>
                <w:sz w:val="20"/>
                <w:szCs w:val="20"/>
              </w:rPr>
              <w:t xml:space="preserve"> Zionism: Studies in the History of the Zionist Movement and the Jewish Community in Palestine</w:t>
            </w:r>
            <w:r w:rsidRPr="00AB45D7">
              <w:rPr>
                <w:rFonts w:asciiTheme="majorBidi" w:hAnsiTheme="majorBidi" w:cstheme="majorBidi"/>
                <w:sz w:val="20"/>
                <w:szCs w:val="20"/>
              </w:rPr>
              <w:t xml:space="preserve"> 9 (1984): 179-193 (Hebrew).</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AB45D7">
              <w:rPr>
                <w:rFonts w:asciiTheme="majorBidi" w:hAnsiTheme="majorBidi" w:cstheme="majorBidi"/>
                <w:sz w:val="20"/>
                <w:szCs w:val="20"/>
              </w:rPr>
              <w:t xml:space="preserve">"Changing Patterns of Landownership in Nineteenth-Century Palestine: The European Influence." </w:t>
            </w:r>
            <w:r w:rsidRPr="00AB45D7">
              <w:rPr>
                <w:rFonts w:asciiTheme="majorBidi" w:hAnsiTheme="majorBidi" w:cstheme="majorBidi"/>
                <w:i/>
                <w:iCs/>
                <w:sz w:val="20"/>
                <w:szCs w:val="20"/>
              </w:rPr>
              <w:t>Journal of Historical Geography</w:t>
            </w:r>
            <w:r w:rsidRPr="00AB45D7">
              <w:rPr>
                <w:rFonts w:asciiTheme="majorBidi" w:hAnsiTheme="majorBidi" w:cstheme="majorBidi"/>
                <w:sz w:val="20"/>
                <w:szCs w:val="20"/>
              </w:rPr>
              <w:t xml:space="preserve"> 10(4) (1984): 357-384.</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"Neighborhood Planning in 19th Century Jerusalem – The </w:t>
            </w:r>
            <w:proofErr w:type="spellStart"/>
            <w:r w:rsidRPr="00AB45D7">
              <w:rPr>
                <w:rFonts w:asciiTheme="majorBidi" w:hAnsiTheme="majorBidi" w:cstheme="majorBidi"/>
                <w:sz w:val="20"/>
                <w:szCs w:val="20"/>
              </w:rPr>
              <w:t>Takanot</w:t>
            </w:r>
            <w:proofErr w:type="spellEnd"/>
            <w:r w:rsidRPr="00AB45D7">
              <w:rPr>
                <w:rFonts w:asciiTheme="majorBidi" w:hAnsiTheme="majorBidi" w:cstheme="majorBidi"/>
                <w:sz w:val="20"/>
                <w:szCs w:val="20"/>
              </w:rPr>
              <w:t xml:space="preserve">." </w:t>
            </w:r>
            <w:r w:rsidRPr="00AB45D7">
              <w:rPr>
                <w:rFonts w:asciiTheme="majorBidi" w:hAnsiTheme="majorBidi" w:cstheme="majorBidi"/>
                <w:i/>
                <w:iCs/>
                <w:sz w:val="20"/>
                <w:szCs w:val="20"/>
              </w:rPr>
              <w:t>Planning History Bulletin</w:t>
            </w:r>
            <w:r w:rsidRPr="00AB45D7">
              <w:rPr>
                <w:rFonts w:asciiTheme="majorBidi" w:hAnsiTheme="majorBidi" w:cstheme="majorBidi"/>
                <w:sz w:val="20"/>
                <w:szCs w:val="20"/>
              </w:rPr>
              <w:t xml:space="preserve"> 4 (1983): 29–31.</w:t>
            </w: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"Activities of the Jerusalem Municipality in the Ottoman Period." </w:t>
            </w:r>
            <w:r w:rsidRPr="00AB45D7">
              <w:rPr>
                <w:rFonts w:asciiTheme="majorBidi" w:hAnsiTheme="majorBidi" w:cstheme="majorBidi"/>
                <w:i/>
                <w:iCs/>
                <w:sz w:val="20"/>
                <w:szCs w:val="20"/>
              </w:rPr>
              <w:t>Cathedra</w:t>
            </w:r>
            <w:r w:rsidRPr="00AB45D7">
              <w:rPr>
                <w:rFonts w:asciiTheme="majorBidi" w:hAnsiTheme="majorBidi" w:cstheme="majorBidi"/>
                <w:sz w:val="20"/>
                <w:szCs w:val="20"/>
              </w:rPr>
              <w:t xml:space="preserve"> 6 (1977): 74–94 (Hebrew).</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Kark</w:t>
            </w:r>
            <w:proofErr w:type="spellEnd"/>
            <w:r w:rsidRPr="00AB45D7">
              <w:rPr>
                <w:rFonts w:asciiTheme="majorBidi" w:hAnsiTheme="majorBidi" w:cstheme="majorBidi"/>
                <w:sz w:val="20"/>
                <w:szCs w:val="20"/>
              </w:rPr>
              <w:t xml:space="preserve">, Ruth and Amir Galilee. "Privatization of Land in Palestine During the End of the Ottoman, and the Mandate Periods: Land Ownership and Cultivation of Northern Samaria Landlords in the </w:t>
            </w:r>
            <w:proofErr w:type="spellStart"/>
            <w:r w:rsidRPr="00AB45D7">
              <w:rPr>
                <w:rFonts w:asciiTheme="majorBidi" w:hAnsiTheme="majorBidi" w:cstheme="majorBidi"/>
                <w:sz w:val="20"/>
                <w:szCs w:val="20"/>
              </w:rPr>
              <w:t>Jezreel</w:t>
            </w:r>
            <w:proofErr w:type="spellEnd"/>
            <w:r w:rsidRPr="00AB45D7">
              <w:rPr>
                <w:rFonts w:asciiTheme="majorBidi" w:hAnsiTheme="majorBidi" w:cstheme="majorBidi"/>
                <w:sz w:val="20"/>
                <w:szCs w:val="20"/>
              </w:rPr>
              <w:t xml:space="preserve"> Valley." </w:t>
            </w:r>
            <w:r w:rsidRPr="00AB45D7">
              <w:rPr>
                <w:rFonts w:asciiTheme="majorBidi" w:hAnsiTheme="majorBidi" w:cstheme="majorBidi"/>
                <w:i/>
                <w:iCs/>
                <w:sz w:val="20"/>
                <w:szCs w:val="20"/>
              </w:rPr>
              <w:t>Judea and Samaria Research Studies</w:t>
            </w:r>
            <w:r w:rsidRPr="00AB45D7">
              <w:rPr>
                <w:rFonts w:asciiTheme="majorBidi" w:hAnsiTheme="majorBidi" w:cstheme="majorBidi"/>
                <w:sz w:val="20"/>
                <w:szCs w:val="20"/>
              </w:rPr>
              <w:t xml:space="preserve"> 15 (2006): 203-214 (Hebrew).</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Kark</w:t>
            </w:r>
            <w:proofErr w:type="spellEnd"/>
            <w:r w:rsidRPr="00AB45D7">
              <w:rPr>
                <w:rFonts w:asciiTheme="majorBidi" w:hAnsiTheme="majorBidi" w:cstheme="majorBidi"/>
                <w:sz w:val="20"/>
                <w:szCs w:val="20"/>
              </w:rPr>
              <w:t xml:space="preserve">, Ruth and Haim Gerber. "Land Registry Maps in Palestine During the Ottoman Period." </w:t>
            </w:r>
            <w:r w:rsidRPr="00AB45D7">
              <w:rPr>
                <w:rFonts w:asciiTheme="majorBidi" w:hAnsiTheme="majorBidi" w:cstheme="majorBidi"/>
                <w:i/>
                <w:iCs/>
                <w:sz w:val="20"/>
                <w:szCs w:val="20"/>
              </w:rPr>
              <w:t>Cathedra</w:t>
            </w:r>
            <w:r w:rsidRPr="00AB45D7">
              <w:rPr>
                <w:rFonts w:asciiTheme="majorBidi" w:hAnsiTheme="majorBidi" w:cstheme="majorBidi"/>
                <w:sz w:val="20"/>
                <w:szCs w:val="20"/>
              </w:rPr>
              <w:t xml:space="preserve"> 22 (1982): 113-118 (Hebrew).</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Kark</w:t>
            </w:r>
            <w:proofErr w:type="spellEnd"/>
            <w:r w:rsidRPr="00AB45D7">
              <w:rPr>
                <w:rFonts w:asciiTheme="majorBidi" w:hAnsiTheme="majorBidi" w:cstheme="majorBidi"/>
                <w:sz w:val="20"/>
                <w:szCs w:val="20"/>
              </w:rPr>
              <w:t xml:space="preserve">, Ruth and Noam Levin. "The Environment in Palestine in the Late Ottoman Period, 1798-1918." In Daniel Orenstein, </w:t>
            </w:r>
            <w:proofErr w:type="spellStart"/>
            <w:r w:rsidRPr="00AB45D7">
              <w:rPr>
                <w:rFonts w:asciiTheme="majorBidi" w:hAnsiTheme="majorBidi" w:cstheme="majorBidi"/>
                <w:sz w:val="20"/>
                <w:szCs w:val="20"/>
              </w:rPr>
              <w:t>Alon</w:t>
            </w:r>
            <w:proofErr w:type="spellEnd"/>
            <w:r w:rsidRPr="00AB45D7">
              <w:rPr>
                <w:rFonts w:asciiTheme="majorBidi" w:hAnsiTheme="majorBidi" w:cstheme="majorBidi"/>
                <w:sz w:val="20"/>
                <w:szCs w:val="20"/>
              </w:rPr>
              <w:t xml:space="preserve"> Tal, and Char Miller eds. </w:t>
            </w:r>
            <w:r w:rsidRPr="00AB45D7">
              <w:rPr>
                <w:rFonts w:asciiTheme="majorBidi" w:hAnsiTheme="majorBidi" w:cstheme="majorBidi"/>
                <w:i/>
                <w:iCs/>
                <w:sz w:val="20"/>
                <w:szCs w:val="20"/>
              </w:rPr>
              <w:t>Between Ruin and Restoration: An Environmental History of Israel</w:t>
            </w:r>
            <w:r w:rsidRPr="00AB45D7">
              <w:rPr>
                <w:rFonts w:asciiTheme="majorBidi" w:hAnsiTheme="majorBidi" w:cstheme="majorBidi"/>
                <w:sz w:val="20"/>
                <w:szCs w:val="20"/>
              </w:rPr>
              <w:t>. Pittsburgh: University of Pittsburgh Press (2013): 1-28.</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Kark</w:t>
            </w:r>
            <w:proofErr w:type="spellEnd"/>
            <w:r w:rsidRPr="00AB45D7">
              <w:rPr>
                <w:rFonts w:asciiTheme="majorBidi" w:hAnsiTheme="majorBidi" w:cstheme="majorBidi"/>
                <w:sz w:val="20"/>
                <w:szCs w:val="20"/>
              </w:rPr>
              <w:t xml:space="preserve">, Ruth and Seth J. </w:t>
            </w:r>
            <w:proofErr w:type="spellStart"/>
            <w:r w:rsidRPr="00AB45D7">
              <w:rPr>
                <w:rFonts w:asciiTheme="majorBidi" w:hAnsiTheme="majorBidi" w:cstheme="majorBidi"/>
                <w:sz w:val="20"/>
                <w:szCs w:val="20"/>
              </w:rPr>
              <w:t>Frantzman</w:t>
            </w:r>
            <w:proofErr w:type="spellEnd"/>
            <w:r w:rsidRPr="00AB45D7">
              <w:rPr>
                <w:rFonts w:asciiTheme="majorBidi" w:hAnsiTheme="majorBidi" w:cstheme="majorBidi"/>
                <w:sz w:val="20"/>
                <w:szCs w:val="20"/>
              </w:rPr>
              <w:t xml:space="preserve">. "'One of the Most Spectacular Lawsuits Ever Launched': </w:t>
            </w:r>
            <w:proofErr w:type="spellStart"/>
            <w:r w:rsidRPr="00AB45D7">
              <w:rPr>
                <w:rFonts w:asciiTheme="majorBidi" w:hAnsiTheme="majorBidi" w:cstheme="majorBidi"/>
                <w:sz w:val="20"/>
                <w:szCs w:val="20"/>
              </w:rPr>
              <w:t>Abdülhamid's</w:t>
            </w:r>
            <w:proofErr w:type="spellEnd"/>
            <w:r w:rsidRPr="00AB45D7">
              <w:rPr>
                <w:rFonts w:asciiTheme="majorBidi" w:hAnsiTheme="majorBidi" w:cstheme="majorBidi"/>
                <w:sz w:val="20"/>
                <w:szCs w:val="20"/>
              </w:rPr>
              <w:t xml:space="preserve"> Heirs, His Lands and the Land Case in Palestine, 1908-1950." </w:t>
            </w:r>
            <w:r w:rsidRPr="00AB45D7">
              <w:rPr>
                <w:rFonts w:asciiTheme="majorBidi" w:hAnsiTheme="majorBidi" w:cstheme="majorBidi"/>
                <w:i/>
                <w:iCs/>
                <w:sz w:val="20"/>
                <w:szCs w:val="20"/>
              </w:rPr>
              <w:t>New Perspectives on Turkey</w:t>
            </w:r>
            <w:r w:rsidRPr="00AB45D7">
              <w:rPr>
                <w:rFonts w:asciiTheme="majorBidi" w:hAnsiTheme="majorBidi" w:cstheme="majorBidi"/>
                <w:sz w:val="20"/>
                <w:szCs w:val="20"/>
              </w:rPr>
              <w:t xml:space="preserve"> 42 (2010): 145-175. </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Kark</w:t>
            </w:r>
            <w:proofErr w:type="spellEnd"/>
            <w:r w:rsidRPr="00AB45D7">
              <w:rPr>
                <w:rFonts w:asciiTheme="majorBidi" w:hAnsiTheme="majorBidi" w:cstheme="majorBidi"/>
                <w:sz w:val="20"/>
                <w:szCs w:val="20"/>
              </w:rPr>
              <w:t xml:space="preserve">, Ruth, Ran </w:t>
            </w:r>
            <w:proofErr w:type="spellStart"/>
            <w:r w:rsidRPr="00AB45D7">
              <w:rPr>
                <w:rFonts w:asciiTheme="majorBidi" w:hAnsiTheme="majorBidi" w:cstheme="majorBidi"/>
                <w:sz w:val="20"/>
                <w:szCs w:val="20"/>
              </w:rPr>
              <w:t>Aaronsohn</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Zvi</w:t>
            </w:r>
            <w:proofErr w:type="spellEnd"/>
            <w:r w:rsidRPr="00AB45D7">
              <w:rPr>
                <w:rFonts w:asciiTheme="majorBidi" w:hAnsiTheme="majorBidi" w:cstheme="majorBidi"/>
                <w:sz w:val="20"/>
                <w:szCs w:val="20"/>
              </w:rPr>
              <w:t xml:space="preserve"> and </w:t>
            </w:r>
            <w:proofErr w:type="spellStart"/>
            <w:r w:rsidRPr="00AB45D7">
              <w:rPr>
                <w:rFonts w:asciiTheme="majorBidi" w:hAnsiTheme="majorBidi" w:cstheme="majorBidi"/>
                <w:sz w:val="20"/>
                <w:szCs w:val="20"/>
              </w:rPr>
              <w:t>Shilony</w:t>
            </w:r>
            <w:proofErr w:type="spellEnd"/>
            <w:r w:rsidRPr="00AB45D7">
              <w:rPr>
                <w:rFonts w:asciiTheme="majorBidi" w:hAnsiTheme="majorBidi" w:cstheme="majorBidi"/>
                <w:sz w:val="20"/>
                <w:szCs w:val="20"/>
              </w:rPr>
              <w:t xml:space="preserve">. </w:t>
            </w:r>
            <w:r w:rsidRPr="00AB45D7">
              <w:rPr>
                <w:rFonts w:asciiTheme="majorBidi" w:hAnsiTheme="majorBidi" w:cstheme="majorBidi"/>
                <w:i/>
                <w:iCs/>
                <w:sz w:val="20"/>
                <w:szCs w:val="20"/>
              </w:rPr>
              <w:t>Landownership and Settlement in Palestine, 1800-1948</w:t>
            </w:r>
            <w:r w:rsidRPr="00AB45D7">
              <w:rPr>
                <w:rFonts w:asciiTheme="majorBidi" w:hAnsiTheme="majorBidi" w:cstheme="majorBidi"/>
                <w:sz w:val="20"/>
                <w:szCs w:val="20"/>
              </w:rPr>
              <w:t xml:space="preserve">. Jerusalem: </w:t>
            </w:r>
            <w:proofErr w:type="spellStart"/>
            <w:r w:rsidRPr="00AB45D7">
              <w:rPr>
                <w:rFonts w:asciiTheme="majorBidi" w:hAnsiTheme="majorBidi" w:cstheme="majorBidi"/>
                <w:sz w:val="20"/>
                <w:szCs w:val="20"/>
              </w:rPr>
              <w:t>Academon</w:t>
            </w:r>
            <w:proofErr w:type="spellEnd"/>
            <w:r w:rsidRPr="00AB45D7">
              <w:rPr>
                <w:rFonts w:asciiTheme="majorBidi" w:hAnsiTheme="majorBidi" w:cstheme="majorBidi"/>
                <w:sz w:val="20"/>
                <w:szCs w:val="20"/>
              </w:rPr>
              <w:t xml:space="preserve"> (1984) (Hebrew).</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Karlinsky</w:t>
            </w:r>
            <w:proofErr w:type="spellEnd"/>
            <w:r w:rsidRPr="00AB45D7">
              <w:rPr>
                <w:rFonts w:asciiTheme="majorBidi" w:hAnsiTheme="majorBidi" w:cstheme="majorBidi"/>
                <w:sz w:val="20"/>
                <w:szCs w:val="20"/>
              </w:rPr>
              <w:t xml:space="preserve">, Nahum. </w:t>
            </w:r>
            <w:r w:rsidRPr="00AB45D7">
              <w:rPr>
                <w:rFonts w:asciiTheme="majorBidi" w:hAnsiTheme="majorBidi" w:cstheme="majorBidi"/>
                <w:i/>
                <w:iCs/>
                <w:sz w:val="20"/>
                <w:szCs w:val="20"/>
              </w:rPr>
              <w:t>California</w:t>
            </w:r>
            <w:r w:rsidRPr="00AB45D7">
              <w:rPr>
                <w:rFonts w:asciiTheme="majorBidi" w:hAnsiTheme="majorBidi" w:cstheme="majorBidi"/>
                <w:sz w:val="20"/>
                <w:szCs w:val="20"/>
              </w:rPr>
              <w:t> </w:t>
            </w:r>
            <w:r w:rsidRPr="00AB45D7">
              <w:rPr>
                <w:rFonts w:asciiTheme="majorBidi" w:hAnsiTheme="majorBidi" w:cstheme="majorBidi"/>
                <w:i/>
                <w:iCs/>
                <w:sz w:val="20"/>
                <w:szCs w:val="20"/>
              </w:rPr>
              <w:t>Dreaming: Ideology, Society and Technology in the Citrus Industry of</w:t>
            </w:r>
            <w:r w:rsidRPr="00AB45D7">
              <w:rPr>
                <w:rFonts w:asciiTheme="majorBidi" w:hAnsiTheme="majorBidi" w:cstheme="majorBidi"/>
                <w:sz w:val="20"/>
                <w:szCs w:val="20"/>
              </w:rPr>
              <w:t> </w:t>
            </w:r>
            <w:r w:rsidRPr="00AB45D7">
              <w:rPr>
                <w:rFonts w:asciiTheme="majorBidi" w:hAnsiTheme="majorBidi" w:cstheme="majorBidi"/>
                <w:i/>
                <w:iCs/>
                <w:sz w:val="20"/>
                <w:szCs w:val="20"/>
              </w:rPr>
              <w:t>Palestine,</w:t>
            </w:r>
            <w:r w:rsidRPr="00AB45D7">
              <w:rPr>
                <w:rFonts w:asciiTheme="majorBidi" w:hAnsiTheme="majorBidi" w:cstheme="majorBidi"/>
                <w:sz w:val="20"/>
                <w:szCs w:val="20"/>
              </w:rPr>
              <w:t> </w:t>
            </w:r>
            <w:r w:rsidRPr="00AB45D7">
              <w:rPr>
                <w:rFonts w:asciiTheme="majorBidi" w:hAnsiTheme="majorBidi" w:cstheme="majorBidi"/>
                <w:i/>
                <w:iCs/>
                <w:sz w:val="20"/>
                <w:szCs w:val="20"/>
              </w:rPr>
              <w:t>1890-1939</w:t>
            </w:r>
            <w:r w:rsidRPr="00AB45D7">
              <w:rPr>
                <w:rFonts w:asciiTheme="majorBidi" w:hAnsiTheme="majorBidi" w:cstheme="majorBidi"/>
                <w:sz w:val="20"/>
                <w:szCs w:val="20"/>
              </w:rPr>
              <w:t>. Albany: State University of New York Press (2005).</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lastRenderedPageBreak/>
              <w:t>Katvan</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Eyal</w:t>
            </w:r>
            <w:proofErr w:type="spellEnd"/>
            <w:r w:rsidRPr="00AB45D7">
              <w:rPr>
                <w:rFonts w:asciiTheme="majorBidi" w:hAnsiTheme="majorBidi" w:cstheme="majorBidi"/>
                <w:sz w:val="20"/>
                <w:szCs w:val="20"/>
              </w:rPr>
              <w:t xml:space="preserve">. "Getting to the Root of the Matter: De-feminization of Dentistry in (Pre-State) Israel." </w:t>
            </w:r>
            <w:proofErr w:type="spellStart"/>
            <w:r w:rsidRPr="00AB45D7">
              <w:rPr>
                <w:rFonts w:asciiTheme="majorBidi" w:hAnsiTheme="majorBidi" w:cstheme="majorBidi"/>
                <w:i/>
                <w:iCs/>
                <w:sz w:val="20"/>
                <w:szCs w:val="20"/>
              </w:rPr>
              <w:t>Hamishpat</w:t>
            </w:r>
            <w:proofErr w:type="spellEnd"/>
            <w:r w:rsidRPr="00AB45D7">
              <w:rPr>
                <w:rFonts w:asciiTheme="majorBidi" w:hAnsiTheme="majorBidi" w:cstheme="majorBidi"/>
                <w:sz w:val="20"/>
                <w:szCs w:val="20"/>
              </w:rPr>
              <w:t xml:space="preserve"> 16 (1-2) (2011): 173-208 (Hebrew).</w:t>
            </w: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"'That Was the Beginning': Professionalization and Americanization of Dentistry in (Pre-State) Israel." </w:t>
            </w:r>
            <w:r w:rsidRPr="00AB45D7">
              <w:rPr>
                <w:rFonts w:asciiTheme="majorBidi" w:hAnsiTheme="majorBidi" w:cstheme="majorBidi"/>
                <w:i/>
                <w:iCs/>
                <w:sz w:val="20"/>
                <w:szCs w:val="20"/>
              </w:rPr>
              <w:t>Journal of History of Dentistr</w:t>
            </w:r>
            <w:r w:rsidRPr="00AB45D7">
              <w:rPr>
                <w:rFonts w:asciiTheme="majorBidi" w:hAnsiTheme="majorBidi" w:cstheme="majorBidi"/>
                <w:sz w:val="20"/>
                <w:szCs w:val="20"/>
              </w:rPr>
              <w:t>y 58(3) (2010): 56-147.</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Katz, Yossi.</w:t>
            </w:r>
            <w:r w:rsidRPr="00AB45D7">
              <w:rPr>
                <w:rFonts w:asciiTheme="majorBidi" w:hAnsiTheme="majorBidi" w:cstheme="majorBidi"/>
                <w:i/>
                <w:iCs/>
                <w:sz w:val="20"/>
                <w:szCs w:val="20"/>
              </w:rPr>
              <w:t xml:space="preserve"> From Dream to Deed: The History of the Jewish National Fund (KKL) Land Lease Contracts in the Land of Israel, 1901-1960</w:t>
            </w:r>
            <w:r w:rsidRPr="00AB45D7">
              <w:rPr>
                <w:rFonts w:asciiTheme="majorBidi" w:hAnsiTheme="majorBidi" w:cstheme="majorBidi"/>
                <w:sz w:val="20"/>
                <w:szCs w:val="20"/>
              </w:rPr>
              <w:t xml:space="preserve">. Jerusalem: </w:t>
            </w:r>
            <w:proofErr w:type="spellStart"/>
            <w:r w:rsidRPr="00AB45D7">
              <w:rPr>
                <w:rFonts w:asciiTheme="majorBidi" w:hAnsiTheme="majorBidi" w:cstheme="majorBidi"/>
                <w:sz w:val="20"/>
                <w:szCs w:val="20"/>
              </w:rPr>
              <w:t>Hassifriya</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Haziyonit</w:t>
            </w:r>
            <w:proofErr w:type="spellEnd"/>
            <w:r w:rsidRPr="00AB45D7">
              <w:rPr>
                <w:rFonts w:asciiTheme="majorBidi" w:hAnsiTheme="majorBidi" w:cstheme="majorBidi"/>
                <w:sz w:val="20"/>
                <w:szCs w:val="20"/>
              </w:rPr>
              <w:t xml:space="preserve"> Publishing House of the World Zionist Organization (2012) (Hebrew).</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"The Jewish Religion and Spatial and Communal Organization: The Implementation of Jewish Religious Law in the Building of the Urban Neighborhoods and Jewish Agriculture Settlements in Palestine at the Close of the Nineteenth Century." In Jamie Scott and Paul Simpson-Housley eds. </w:t>
            </w:r>
            <w:r w:rsidRPr="00AB45D7">
              <w:rPr>
                <w:rFonts w:asciiTheme="majorBidi" w:hAnsiTheme="majorBidi" w:cstheme="majorBidi"/>
                <w:i/>
                <w:iCs/>
                <w:sz w:val="20"/>
                <w:szCs w:val="20"/>
              </w:rPr>
              <w:t xml:space="preserve">Sacred Places and Profane Spaces: Essays in the </w:t>
            </w:r>
            <w:proofErr w:type="spellStart"/>
            <w:r w:rsidRPr="00AB45D7">
              <w:rPr>
                <w:rFonts w:asciiTheme="majorBidi" w:hAnsiTheme="majorBidi" w:cstheme="majorBidi"/>
                <w:i/>
                <w:iCs/>
                <w:sz w:val="20"/>
                <w:szCs w:val="20"/>
              </w:rPr>
              <w:t>Geographics</w:t>
            </w:r>
            <w:proofErr w:type="spellEnd"/>
            <w:r w:rsidRPr="00AB45D7">
              <w:rPr>
                <w:rFonts w:asciiTheme="majorBidi" w:hAnsiTheme="majorBidi" w:cstheme="majorBidi"/>
                <w:i/>
                <w:iCs/>
                <w:sz w:val="20"/>
                <w:szCs w:val="20"/>
              </w:rPr>
              <w:t xml:space="preserve"> of Judaism, Christianity, and Islam</w:t>
            </w:r>
            <w:r w:rsidRPr="00AB45D7">
              <w:rPr>
                <w:rFonts w:asciiTheme="majorBidi" w:hAnsiTheme="majorBidi" w:cstheme="majorBidi"/>
                <w:sz w:val="20"/>
                <w:szCs w:val="20"/>
              </w:rPr>
              <w:t>. New York: Greenwood Press (1991): 3-20.</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AB45D7">
              <w:rPr>
                <w:rFonts w:asciiTheme="majorBidi" w:hAnsiTheme="majorBidi" w:cstheme="majorBidi"/>
                <w:i/>
                <w:iCs/>
                <w:sz w:val="20"/>
                <w:szCs w:val="20"/>
              </w:rPr>
              <w:t xml:space="preserve">You Shall Grant </w:t>
            </w:r>
            <w:proofErr w:type="gramStart"/>
            <w:r w:rsidRPr="00AB45D7">
              <w:rPr>
                <w:rFonts w:asciiTheme="majorBidi" w:hAnsiTheme="majorBidi" w:cstheme="majorBidi"/>
                <w:i/>
                <w:iCs/>
                <w:sz w:val="20"/>
                <w:szCs w:val="20"/>
              </w:rPr>
              <w:t>a Redemption</w:t>
            </w:r>
            <w:proofErr w:type="gramEnd"/>
            <w:r w:rsidRPr="00AB45D7">
              <w:rPr>
                <w:rFonts w:asciiTheme="majorBidi" w:hAnsiTheme="majorBidi" w:cstheme="majorBidi"/>
                <w:i/>
                <w:iCs/>
                <w:sz w:val="20"/>
                <w:szCs w:val="20"/>
              </w:rPr>
              <w:t xml:space="preserve"> for the Land: </w:t>
            </w:r>
            <w:proofErr w:type="spellStart"/>
            <w:r w:rsidRPr="00AB45D7">
              <w:rPr>
                <w:rFonts w:asciiTheme="majorBidi" w:hAnsiTheme="majorBidi" w:cstheme="majorBidi"/>
                <w:i/>
                <w:iCs/>
                <w:sz w:val="20"/>
                <w:szCs w:val="20"/>
              </w:rPr>
              <w:t>Geula</w:t>
            </w:r>
            <w:proofErr w:type="spellEnd"/>
            <w:r w:rsidRPr="00AB45D7">
              <w:rPr>
                <w:rFonts w:asciiTheme="majorBidi" w:hAnsiTheme="majorBidi" w:cstheme="majorBidi"/>
                <w:i/>
                <w:iCs/>
                <w:sz w:val="20"/>
                <w:szCs w:val="20"/>
              </w:rPr>
              <w:t xml:space="preserve"> Company for Land Acquisition, 1902-1914</w:t>
            </w:r>
            <w:r w:rsidRPr="00AB45D7">
              <w:rPr>
                <w:rFonts w:asciiTheme="majorBidi" w:hAnsiTheme="majorBidi" w:cstheme="majorBidi"/>
                <w:sz w:val="20"/>
                <w:szCs w:val="20"/>
              </w:rPr>
              <w:t xml:space="preserve">. Jerusalem: </w:t>
            </w:r>
            <w:proofErr w:type="spellStart"/>
            <w:r w:rsidRPr="00AB45D7">
              <w:rPr>
                <w:rFonts w:asciiTheme="majorBidi" w:hAnsiTheme="majorBidi" w:cstheme="majorBidi"/>
                <w:sz w:val="20"/>
                <w:szCs w:val="20"/>
              </w:rPr>
              <w:t>Yad</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Izhak</w:t>
            </w:r>
            <w:proofErr w:type="spellEnd"/>
            <w:r w:rsidRPr="00AB45D7">
              <w:rPr>
                <w:rFonts w:asciiTheme="majorBidi" w:hAnsiTheme="majorBidi" w:cstheme="majorBidi"/>
                <w:sz w:val="20"/>
                <w:szCs w:val="20"/>
              </w:rPr>
              <w:t xml:space="preserve"> Ben-</w:t>
            </w:r>
            <w:proofErr w:type="spellStart"/>
            <w:r w:rsidRPr="00AB45D7">
              <w:rPr>
                <w:rFonts w:asciiTheme="majorBidi" w:hAnsiTheme="majorBidi" w:cstheme="majorBidi"/>
                <w:sz w:val="20"/>
                <w:szCs w:val="20"/>
              </w:rPr>
              <w:t>Zvi</w:t>
            </w:r>
            <w:proofErr w:type="spellEnd"/>
            <w:r w:rsidRPr="00AB45D7">
              <w:rPr>
                <w:rFonts w:asciiTheme="majorBidi" w:hAnsiTheme="majorBidi" w:cstheme="majorBidi"/>
                <w:sz w:val="20"/>
                <w:szCs w:val="20"/>
              </w:rPr>
              <w:t xml:space="preserve"> (1987) (Hebrew).</w:t>
            </w: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AB45D7">
              <w:rPr>
                <w:rFonts w:asciiTheme="majorBidi" w:hAnsiTheme="majorBidi" w:cstheme="majorBidi"/>
                <w:sz w:val="20"/>
                <w:szCs w:val="20"/>
              </w:rPr>
              <w:t xml:space="preserve">"The Jewish National Fund Assists in the Establishment of </w:t>
            </w:r>
            <w:proofErr w:type="spellStart"/>
            <w:r w:rsidRPr="00AB45D7">
              <w:rPr>
                <w:rFonts w:asciiTheme="majorBidi" w:hAnsiTheme="majorBidi" w:cstheme="majorBidi"/>
                <w:sz w:val="20"/>
                <w:szCs w:val="20"/>
              </w:rPr>
              <w:t>Tel</w:t>
            </w:r>
            <w:r w:rsidRPr="00AB45D7">
              <w:rPr>
                <w:rFonts w:asciiTheme="majorBidi" w:hAnsiTheme="majorBidi" w:cstheme="majorBidi"/>
                <w:sz w:val="20"/>
                <w:szCs w:val="20"/>
              </w:rPr>
              <w:softHyphen/>
              <w:t>Aviv</w:t>
            </w:r>
            <w:proofErr w:type="spellEnd"/>
            <w:r w:rsidRPr="00AB45D7">
              <w:rPr>
                <w:rFonts w:asciiTheme="majorBidi" w:hAnsiTheme="majorBidi" w:cstheme="majorBidi"/>
                <w:sz w:val="20"/>
                <w:szCs w:val="20"/>
              </w:rPr>
              <w:t xml:space="preserve">: The Attitude of Zionist Organization to Urban Settlement in </w:t>
            </w:r>
            <w:proofErr w:type="spellStart"/>
            <w:r w:rsidRPr="00AB45D7">
              <w:rPr>
                <w:rFonts w:asciiTheme="majorBidi" w:hAnsiTheme="majorBidi" w:cstheme="majorBidi"/>
                <w:sz w:val="20"/>
                <w:szCs w:val="20"/>
              </w:rPr>
              <w:t>Eretz</w:t>
            </w:r>
            <w:proofErr w:type="spellEnd"/>
            <w:r w:rsidRPr="00AB45D7">
              <w:rPr>
                <w:rFonts w:asciiTheme="majorBidi" w:hAnsiTheme="majorBidi" w:cstheme="majorBidi"/>
                <w:sz w:val="20"/>
                <w:szCs w:val="20"/>
              </w:rPr>
              <w:t xml:space="preserve">-Israel." </w:t>
            </w:r>
            <w:r w:rsidRPr="00AB45D7">
              <w:rPr>
                <w:rFonts w:asciiTheme="majorBidi" w:hAnsiTheme="majorBidi" w:cstheme="majorBidi"/>
                <w:i/>
                <w:iCs/>
                <w:sz w:val="20"/>
                <w:szCs w:val="20"/>
              </w:rPr>
              <w:t>Studies in the Geography of Israel</w:t>
            </w:r>
            <w:r w:rsidRPr="00AB45D7">
              <w:rPr>
                <w:rFonts w:asciiTheme="majorBidi" w:hAnsiTheme="majorBidi" w:cstheme="majorBidi"/>
                <w:sz w:val="20"/>
                <w:szCs w:val="20"/>
              </w:rPr>
              <w:t xml:space="preserve"> 12 (1986): 99-108 (Hebrew).</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Kedar</w:t>
            </w:r>
            <w:proofErr w:type="spellEnd"/>
            <w:r w:rsidRPr="00AB45D7">
              <w:rPr>
                <w:rFonts w:asciiTheme="majorBidi" w:hAnsiTheme="majorBidi" w:cstheme="majorBidi"/>
                <w:sz w:val="20"/>
                <w:szCs w:val="20"/>
              </w:rPr>
              <w:t xml:space="preserve">, Alexandre (Sandy). "Majority Time, Minority Time: Land, Nation, and the Law of Adverse Possession in Israel." </w:t>
            </w:r>
            <w:r w:rsidRPr="00AB45D7">
              <w:rPr>
                <w:rFonts w:asciiTheme="majorBidi" w:hAnsiTheme="majorBidi" w:cstheme="majorBidi"/>
                <w:i/>
                <w:iCs/>
                <w:sz w:val="20"/>
                <w:szCs w:val="20"/>
              </w:rPr>
              <w:t xml:space="preserve">Tel Aviv University Law Review </w:t>
            </w:r>
            <w:r w:rsidRPr="00AB45D7">
              <w:rPr>
                <w:rFonts w:asciiTheme="majorBidi" w:hAnsiTheme="majorBidi" w:cstheme="majorBidi"/>
                <w:sz w:val="20"/>
                <w:szCs w:val="20"/>
              </w:rPr>
              <w:t>21(3) (1998): 665-746 (Hebrew).</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 xml:space="preserve">Kushner, David. "The Last Generation of the Ottoman Rule in </w:t>
            </w:r>
            <w:proofErr w:type="spellStart"/>
            <w:r w:rsidRPr="00AB45D7">
              <w:rPr>
                <w:rFonts w:asciiTheme="majorBidi" w:hAnsiTheme="majorBidi" w:cstheme="majorBidi"/>
                <w:sz w:val="20"/>
                <w:szCs w:val="20"/>
              </w:rPr>
              <w:t>Eretz</w:t>
            </w:r>
            <w:proofErr w:type="spellEnd"/>
            <w:r w:rsidRPr="00AB45D7">
              <w:rPr>
                <w:rFonts w:asciiTheme="majorBidi" w:hAnsiTheme="majorBidi" w:cstheme="majorBidi"/>
                <w:sz w:val="20"/>
                <w:szCs w:val="20"/>
              </w:rPr>
              <w:t xml:space="preserve">-Israel, 1882-1914." In Israel </w:t>
            </w:r>
            <w:proofErr w:type="spellStart"/>
            <w:r w:rsidRPr="00AB45D7">
              <w:rPr>
                <w:rFonts w:asciiTheme="majorBidi" w:hAnsiTheme="majorBidi" w:cstheme="majorBidi"/>
                <w:sz w:val="20"/>
                <w:szCs w:val="20"/>
              </w:rPr>
              <w:t>Kolatt</w:t>
            </w:r>
            <w:proofErr w:type="spellEnd"/>
            <w:r w:rsidRPr="00AB45D7">
              <w:rPr>
                <w:rFonts w:asciiTheme="majorBidi" w:hAnsiTheme="majorBidi" w:cstheme="majorBidi"/>
                <w:sz w:val="20"/>
                <w:szCs w:val="20"/>
              </w:rPr>
              <w:t xml:space="preserve"> ed. </w:t>
            </w:r>
            <w:r w:rsidRPr="00AB45D7">
              <w:rPr>
                <w:rFonts w:asciiTheme="majorBidi" w:hAnsiTheme="majorBidi" w:cstheme="majorBidi"/>
                <w:i/>
                <w:iCs/>
                <w:sz w:val="20"/>
                <w:szCs w:val="20"/>
              </w:rPr>
              <w:t xml:space="preserve">The History of the Jewish Community in </w:t>
            </w:r>
            <w:proofErr w:type="spellStart"/>
            <w:r w:rsidRPr="00AB45D7">
              <w:rPr>
                <w:rFonts w:asciiTheme="majorBidi" w:hAnsiTheme="majorBidi" w:cstheme="majorBidi"/>
                <w:i/>
                <w:iCs/>
                <w:sz w:val="20"/>
                <w:szCs w:val="20"/>
              </w:rPr>
              <w:t>Eretz</w:t>
            </w:r>
            <w:proofErr w:type="spellEnd"/>
            <w:r w:rsidRPr="00AB45D7">
              <w:rPr>
                <w:rFonts w:asciiTheme="majorBidi" w:hAnsiTheme="majorBidi" w:cstheme="majorBidi"/>
                <w:i/>
                <w:iCs/>
                <w:sz w:val="20"/>
                <w:szCs w:val="20"/>
              </w:rPr>
              <w:t>-Israel Since 1882: The Ottoman Period – Part I</w:t>
            </w:r>
            <w:r w:rsidRPr="00AB45D7">
              <w:rPr>
                <w:rFonts w:asciiTheme="majorBidi" w:hAnsiTheme="majorBidi" w:cstheme="majorBidi"/>
                <w:sz w:val="20"/>
                <w:szCs w:val="20"/>
              </w:rPr>
              <w:t xml:space="preserve">. Jerusalem: The </w:t>
            </w:r>
            <w:proofErr w:type="spellStart"/>
            <w:r w:rsidRPr="00AB45D7">
              <w:rPr>
                <w:rFonts w:asciiTheme="majorBidi" w:hAnsiTheme="majorBidi" w:cstheme="majorBidi"/>
                <w:sz w:val="20"/>
                <w:szCs w:val="20"/>
              </w:rPr>
              <w:t>Bialik</w:t>
            </w:r>
            <w:proofErr w:type="spellEnd"/>
            <w:r w:rsidRPr="00AB45D7">
              <w:rPr>
                <w:rFonts w:asciiTheme="majorBidi" w:hAnsiTheme="majorBidi" w:cstheme="majorBidi"/>
                <w:sz w:val="20"/>
                <w:szCs w:val="20"/>
              </w:rPr>
              <w:t xml:space="preserve"> Institute (1989): 1-74 (Hebrew). </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Pr>
                <w:sz w:val="20"/>
                <w:szCs w:val="20"/>
              </w:rPr>
              <w:t xml:space="preserve">––––– </w:t>
            </w:r>
            <w:r w:rsidRPr="00AB45D7">
              <w:rPr>
                <w:rFonts w:asciiTheme="majorBidi" w:hAnsiTheme="majorBidi" w:cstheme="majorBidi"/>
                <w:sz w:val="20"/>
                <w:szCs w:val="20"/>
              </w:rPr>
              <w:t xml:space="preserve">ed. </w:t>
            </w:r>
            <w:r w:rsidRPr="00AB45D7">
              <w:rPr>
                <w:rFonts w:asciiTheme="majorBidi" w:hAnsiTheme="majorBidi" w:cstheme="majorBidi"/>
                <w:i/>
                <w:iCs/>
                <w:sz w:val="20"/>
                <w:szCs w:val="20"/>
              </w:rPr>
              <w:t>Palestine in the Late Ottoman Period: Political, Social and Economic Transformation</w:t>
            </w:r>
            <w:r w:rsidRPr="00AB45D7">
              <w:rPr>
                <w:rFonts w:asciiTheme="majorBidi" w:hAnsiTheme="majorBidi" w:cstheme="majorBidi"/>
                <w:sz w:val="20"/>
                <w:szCs w:val="20"/>
              </w:rPr>
              <w:t xml:space="preserve">. Jerusalem: </w:t>
            </w:r>
            <w:proofErr w:type="spellStart"/>
            <w:r w:rsidRPr="00AB45D7">
              <w:rPr>
                <w:rFonts w:asciiTheme="majorBidi" w:hAnsiTheme="majorBidi" w:cstheme="majorBidi"/>
                <w:sz w:val="20"/>
                <w:szCs w:val="20"/>
              </w:rPr>
              <w:t>Yad</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Izhak</w:t>
            </w:r>
            <w:proofErr w:type="spellEnd"/>
            <w:r w:rsidRPr="00AB45D7">
              <w:rPr>
                <w:rFonts w:asciiTheme="majorBidi" w:hAnsiTheme="majorBidi" w:cstheme="majorBidi"/>
                <w:sz w:val="20"/>
                <w:szCs w:val="20"/>
              </w:rPr>
              <w:t xml:space="preserve"> Ben-</w:t>
            </w:r>
            <w:proofErr w:type="spellStart"/>
            <w:r w:rsidRPr="00AB45D7">
              <w:rPr>
                <w:rFonts w:asciiTheme="majorBidi" w:hAnsiTheme="majorBidi" w:cstheme="majorBidi"/>
                <w:sz w:val="20"/>
                <w:szCs w:val="20"/>
              </w:rPr>
              <w:t>Zvi</w:t>
            </w:r>
            <w:proofErr w:type="spellEnd"/>
            <w:r w:rsidRPr="00AB45D7">
              <w:rPr>
                <w:rFonts w:asciiTheme="majorBidi" w:hAnsiTheme="majorBidi" w:cstheme="majorBidi"/>
                <w:sz w:val="20"/>
                <w:szCs w:val="20"/>
              </w:rPr>
              <w:t xml:space="preserve"> (1986). </w:t>
            </w: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"The 'Foreign Relations' of the Governors of Jerusalem toward the End of the Ottoman Period." In David Kushner ed.</w:t>
            </w:r>
            <w:r w:rsidRPr="00AB45D7">
              <w:rPr>
                <w:rFonts w:asciiTheme="majorBidi" w:hAnsiTheme="majorBidi" w:cstheme="majorBidi"/>
                <w:i/>
                <w:iCs/>
                <w:sz w:val="20"/>
                <w:szCs w:val="20"/>
              </w:rPr>
              <w:t xml:space="preserve"> Palestine in the Late Ottoman Period: Political, Social and Economic Transformation</w:t>
            </w:r>
            <w:r w:rsidRPr="00AB45D7">
              <w:rPr>
                <w:rFonts w:asciiTheme="majorBidi" w:hAnsiTheme="majorBidi" w:cstheme="majorBidi"/>
                <w:sz w:val="20"/>
                <w:szCs w:val="20"/>
              </w:rPr>
              <w:t xml:space="preserve">. Jerusalem: </w:t>
            </w:r>
            <w:proofErr w:type="spellStart"/>
            <w:r w:rsidRPr="00AB45D7">
              <w:rPr>
                <w:rFonts w:asciiTheme="majorBidi" w:hAnsiTheme="majorBidi" w:cstheme="majorBidi"/>
                <w:sz w:val="20"/>
                <w:szCs w:val="20"/>
              </w:rPr>
              <w:t>Yad</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Izhak</w:t>
            </w:r>
            <w:proofErr w:type="spellEnd"/>
            <w:r w:rsidRPr="00AB45D7">
              <w:rPr>
                <w:rFonts w:asciiTheme="majorBidi" w:hAnsiTheme="majorBidi" w:cstheme="majorBidi"/>
                <w:sz w:val="20"/>
                <w:szCs w:val="20"/>
              </w:rPr>
              <w:t xml:space="preserve"> Ben-</w:t>
            </w:r>
            <w:proofErr w:type="spellStart"/>
            <w:r w:rsidRPr="00AB45D7">
              <w:rPr>
                <w:rFonts w:asciiTheme="majorBidi" w:hAnsiTheme="majorBidi" w:cstheme="majorBidi"/>
                <w:sz w:val="20"/>
                <w:szCs w:val="20"/>
              </w:rPr>
              <w:t>Zvi</w:t>
            </w:r>
            <w:proofErr w:type="spellEnd"/>
            <w:r w:rsidRPr="00AB45D7">
              <w:rPr>
                <w:rFonts w:asciiTheme="majorBidi" w:hAnsiTheme="majorBidi" w:cstheme="majorBidi"/>
                <w:sz w:val="20"/>
                <w:szCs w:val="20"/>
              </w:rPr>
              <w:t xml:space="preserve"> (1986): 309-319. </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LeVine</w:t>
            </w:r>
            <w:proofErr w:type="spellEnd"/>
            <w:r w:rsidRPr="00AB45D7">
              <w:rPr>
                <w:rFonts w:asciiTheme="majorBidi" w:hAnsiTheme="majorBidi" w:cstheme="majorBidi"/>
                <w:sz w:val="20"/>
                <w:szCs w:val="20"/>
              </w:rPr>
              <w:t xml:space="preserve">, Mark. </w:t>
            </w:r>
            <w:r w:rsidRPr="00AB45D7">
              <w:rPr>
                <w:rFonts w:asciiTheme="majorBidi" w:hAnsiTheme="majorBidi" w:cstheme="majorBidi"/>
                <w:i/>
                <w:iCs/>
                <w:sz w:val="20"/>
                <w:szCs w:val="20"/>
              </w:rPr>
              <w:t>Overthrowing Geography: Jaffa, Tel Aviv, and the Struggle for Palestine, 1880-1948</w:t>
            </w:r>
            <w:r w:rsidRPr="00AB45D7">
              <w:rPr>
                <w:rFonts w:asciiTheme="majorBidi" w:hAnsiTheme="majorBidi" w:cstheme="majorBidi"/>
                <w:sz w:val="20"/>
                <w:szCs w:val="20"/>
              </w:rPr>
              <w:t xml:space="preserve">. Berkeley: University of California Press (2005). </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Likhovski</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Assaf</w:t>
            </w:r>
            <w:proofErr w:type="spellEnd"/>
            <w:r w:rsidRPr="00AB45D7">
              <w:rPr>
                <w:rFonts w:asciiTheme="majorBidi" w:hAnsiTheme="majorBidi" w:cstheme="majorBidi"/>
                <w:sz w:val="20"/>
                <w:szCs w:val="20"/>
              </w:rPr>
              <w:t xml:space="preserve">. "The Ottoman Legacy of Israeli Law." </w:t>
            </w:r>
            <w:proofErr w:type="spellStart"/>
            <w:r w:rsidRPr="00AB45D7">
              <w:rPr>
                <w:rFonts w:asciiTheme="majorBidi" w:hAnsiTheme="majorBidi" w:cstheme="majorBidi"/>
                <w:i/>
                <w:iCs/>
                <w:sz w:val="20"/>
                <w:szCs w:val="20"/>
              </w:rPr>
              <w:t>Annales</w:t>
            </w:r>
            <w:proofErr w:type="spellEnd"/>
            <w:r w:rsidRPr="00AB45D7">
              <w:rPr>
                <w:rFonts w:asciiTheme="majorBidi" w:hAnsiTheme="majorBidi" w:cstheme="majorBidi"/>
                <w:i/>
                <w:iCs/>
                <w:sz w:val="20"/>
                <w:szCs w:val="20"/>
              </w:rPr>
              <w:t xml:space="preserve"> de la </w:t>
            </w:r>
            <w:proofErr w:type="spellStart"/>
            <w:r w:rsidRPr="00AB45D7">
              <w:rPr>
                <w:rFonts w:asciiTheme="majorBidi" w:hAnsiTheme="majorBidi" w:cstheme="majorBidi"/>
                <w:i/>
                <w:iCs/>
                <w:sz w:val="20"/>
                <w:szCs w:val="20"/>
              </w:rPr>
              <w:t>Faculté</w:t>
            </w:r>
            <w:proofErr w:type="spellEnd"/>
            <w:r w:rsidRPr="00AB45D7">
              <w:rPr>
                <w:rFonts w:asciiTheme="majorBidi" w:hAnsiTheme="majorBidi" w:cstheme="majorBidi"/>
                <w:i/>
                <w:iCs/>
                <w:sz w:val="20"/>
                <w:szCs w:val="20"/>
              </w:rPr>
              <w:t xml:space="preserve"> de Droit </w:t>
            </w:r>
            <w:proofErr w:type="spellStart"/>
            <w:r w:rsidRPr="00AB45D7">
              <w:rPr>
                <w:rFonts w:asciiTheme="majorBidi" w:hAnsiTheme="majorBidi" w:cstheme="majorBidi"/>
                <w:i/>
                <w:iCs/>
                <w:sz w:val="20"/>
                <w:szCs w:val="20"/>
              </w:rPr>
              <w:t>d'Istanbul</w:t>
            </w:r>
            <w:proofErr w:type="spellEnd"/>
            <w:r w:rsidRPr="00AB45D7">
              <w:rPr>
                <w:rFonts w:asciiTheme="majorBidi" w:hAnsiTheme="majorBidi" w:cstheme="majorBidi"/>
                <w:sz w:val="20"/>
                <w:szCs w:val="20"/>
              </w:rPr>
              <w:t xml:space="preserve"> 39 (2007): 71-86.</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Malchi</w:t>
            </w:r>
            <w:proofErr w:type="spellEnd"/>
            <w:r w:rsidRPr="00AB45D7">
              <w:rPr>
                <w:rFonts w:asciiTheme="majorBidi" w:hAnsiTheme="majorBidi" w:cstheme="majorBidi"/>
                <w:sz w:val="20"/>
                <w:szCs w:val="20"/>
              </w:rPr>
              <w:t xml:space="preserve">, Eliezer. </w:t>
            </w:r>
            <w:r w:rsidRPr="00AB45D7">
              <w:rPr>
                <w:rFonts w:asciiTheme="majorBidi" w:hAnsiTheme="majorBidi" w:cstheme="majorBidi"/>
                <w:i/>
                <w:iCs/>
                <w:sz w:val="20"/>
                <w:szCs w:val="20"/>
              </w:rPr>
              <w:t>The History of the Law of Palestine</w:t>
            </w:r>
            <w:r w:rsidRPr="00AB45D7">
              <w:rPr>
                <w:rFonts w:asciiTheme="majorBidi" w:hAnsiTheme="majorBidi" w:cstheme="majorBidi"/>
                <w:sz w:val="20"/>
                <w:szCs w:val="20"/>
              </w:rPr>
              <w:t xml:space="preserve">. Tel Aviv: </w:t>
            </w:r>
            <w:proofErr w:type="spellStart"/>
            <w:r w:rsidRPr="00AB45D7">
              <w:rPr>
                <w:rFonts w:asciiTheme="majorBidi" w:hAnsiTheme="majorBidi" w:cstheme="majorBidi"/>
                <w:sz w:val="20"/>
                <w:szCs w:val="20"/>
              </w:rPr>
              <w:t>Dinim</w:t>
            </w:r>
            <w:proofErr w:type="spellEnd"/>
            <w:r w:rsidRPr="00AB45D7">
              <w:rPr>
                <w:rFonts w:asciiTheme="majorBidi" w:hAnsiTheme="majorBidi" w:cstheme="majorBidi"/>
                <w:sz w:val="20"/>
                <w:szCs w:val="20"/>
              </w:rPr>
              <w:t xml:space="preserve"> (1953) (Hebrew).</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 xml:space="preserve">Mandel, Avraham and Sylvia </w:t>
            </w:r>
            <w:proofErr w:type="spellStart"/>
            <w:r w:rsidRPr="00AB45D7">
              <w:rPr>
                <w:rFonts w:asciiTheme="majorBidi" w:hAnsiTheme="majorBidi" w:cstheme="majorBidi"/>
                <w:sz w:val="20"/>
                <w:szCs w:val="20"/>
              </w:rPr>
              <w:t>Habif</w:t>
            </w:r>
            <w:proofErr w:type="spellEnd"/>
            <w:r w:rsidRPr="00AB45D7">
              <w:rPr>
                <w:rFonts w:asciiTheme="majorBidi" w:hAnsiTheme="majorBidi" w:cstheme="majorBidi"/>
                <w:sz w:val="20"/>
                <w:szCs w:val="20"/>
              </w:rPr>
              <w:t xml:space="preserve"> eds.</w:t>
            </w:r>
            <w:r w:rsidRPr="00AB45D7">
              <w:rPr>
                <w:rFonts w:asciiTheme="majorBidi" w:hAnsiTheme="majorBidi" w:cstheme="majorBidi"/>
                <w:i/>
                <w:iCs/>
                <w:sz w:val="20"/>
                <w:szCs w:val="20"/>
              </w:rPr>
              <w:t xml:space="preserve"> The Dossier of Customs: 100 Years of customs in </w:t>
            </w:r>
            <w:proofErr w:type="spellStart"/>
            <w:r w:rsidRPr="00AB45D7">
              <w:rPr>
                <w:rFonts w:asciiTheme="majorBidi" w:hAnsiTheme="majorBidi" w:cstheme="majorBidi"/>
                <w:i/>
                <w:iCs/>
                <w:sz w:val="20"/>
                <w:szCs w:val="20"/>
              </w:rPr>
              <w:t>Eretz</w:t>
            </w:r>
            <w:proofErr w:type="spellEnd"/>
            <w:r w:rsidRPr="00AB45D7">
              <w:rPr>
                <w:rFonts w:asciiTheme="majorBidi" w:hAnsiTheme="majorBidi" w:cstheme="majorBidi"/>
                <w:i/>
                <w:iCs/>
                <w:sz w:val="20"/>
                <w:szCs w:val="20"/>
              </w:rPr>
              <w:t xml:space="preserve"> Israel</w:t>
            </w:r>
            <w:r w:rsidRPr="00AB45D7">
              <w:rPr>
                <w:rFonts w:asciiTheme="majorBidi" w:hAnsiTheme="majorBidi" w:cstheme="majorBidi"/>
                <w:sz w:val="20"/>
                <w:szCs w:val="20"/>
              </w:rPr>
              <w:t>. Ramat-</w:t>
            </w:r>
            <w:proofErr w:type="spellStart"/>
            <w:r w:rsidRPr="00AB45D7">
              <w:rPr>
                <w:rFonts w:asciiTheme="majorBidi" w:hAnsiTheme="majorBidi" w:cstheme="majorBidi"/>
                <w:sz w:val="20"/>
                <w:szCs w:val="20"/>
              </w:rPr>
              <w:t>Gan</w:t>
            </w:r>
            <w:proofErr w:type="spellEnd"/>
            <w:r w:rsidRPr="00AB45D7">
              <w:rPr>
                <w:rFonts w:asciiTheme="majorBidi" w:hAnsiTheme="majorBidi" w:cstheme="majorBidi"/>
                <w:sz w:val="20"/>
                <w:szCs w:val="20"/>
              </w:rPr>
              <w:t xml:space="preserve"> and Jerusalem: </w:t>
            </w:r>
            <w:proofErr w:type="spellStart"/>
            <w:r w:rsidRPr="00AB45D7">
              <w:rPr>
                <w:rFonts w:asciiTheme="majorBidi" w:hAnsiTheme="majorBidi" w:cstheme="majorBidi"/>
                <w:sz w:val="20"/>
                <w:szCs w:val="20"/>
              </w:rPr>
              <w:t>Masadah</w:t>
            </w:r>
            <w:proofErr w:type="spellEnd"/>
            <w:r w:rsidRPr="00AB45D7">
              <w:rPr>
                <w:rFonts w:asciiTheme="majorBidi" w:hAnsiTheme="majorBidi" w:cstheme="majorBidi"/>
                <w:sz w:val="20"/>
                <w:szCs w:val="20"/>
              </w:rPr>
              <w:t xml:space="preserve"> and Museum of Taxes, State Revenue Administration (1973) (Hebrew).</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Ma'oz</w:t>
            </w:r>
            <w:proofErr w:type="spellEnd"/>
            <w:r w:rsidRPr="00AB45D7">
              <w:rPr>
                <w:rFonts w:asciiTheme="majorBidi" w:hAnsiTheme="majorBidi" w:cstheme="majorBidi"/>
                <w:sz w:val="20"/>
                <w:szCs w:val="20"/>
              </w:rPr>
              <w:t>, Moshe.</w:t>
            </w:r>
            <w:r w:rsidRPr="00AB45D7">
              <w:rPr>
                <w:rFonts w:asciiTheme="majorBidi" w:hAnsiTheme="majorBidi" w:cstheme="majorBidi"/>
                <w:i/>
                <w:iCs/>
                <w:sz w:val="20"/>
                <w:szCs w:val="20"/>
              </w:rPr>
              <w:t xml:space="preserve"> Ottoman Reform in Syria and Palestine, 1840-1861: The Impact of the </w:t>
            </w:r>
            <w:proofErr w:type="spellStart"/>
            <w:r w:rsidRPr="00AB45D7">
              <w:rPr>
                <w:rFonts w:asciiTheme="majorBidi" w:hAnsiTheme="majorBidi" w:cstheme="majorBidi"/>
                <w:i/>
                <w:iCs/>
                <w:sz w:val="20"/>
                <w:szCs w:val="20"/>
              </w:rPr>
              <w:t>Tanzimat</w:t>
            </w:r>
            <w:proofErr w:type="spellEnd"/>
            <w:r w:rsidRPr="00AB45D7">
              <w:rPr>
                <w:rFonts w:asciiTheme="majorBidi" w:hAnsiTheme="majorBidi" w:cstheme="majorBidi"/>
                <w:i/>
                <w:iCs/>
                <w:sz w:val="20"/>
                <w:szCs w:val="20"/>
              </w:rPr>
              <w:t xml:space="preserve"> on Politics and Society</w:t>
            </w:r>
            <w:r w:rsidRPr="00AB45D7">
              <w:rPr>
                <w:rFonts w:asciiTheme="majorBidi" w:hAnsiTheme="majorBidi" w:cstheme="majorBidi"/>
                <w:sz w:val="20"/>
                <w:szCs w:val="20"/>
              </w:rPr>
              <w:t>. Oxford: Clarendon Press (1968).</w:t>
            </w:r>
          </w:p>
          <w:p w:rsidR="001B42A1" w:rsidRDefault="001B42A1" w:rsidP="00AB45D7">
            <w:pPr>
              <w:ind w:left="227" w:hanging="227"/>
              <w:jc w:val="both"/>
              <w:rPr>
                <w:rFonts w:asciiTheme="majorBidi" w:hAnsiTheme="majorBidi" w:cstheme="majorBidi"/>
                <w:sz w:val="20"/>
                <w:szCs w:val="20"/>
              </w:rPr>
            </w:pPr>
          </w:p>
          <w:p w:rsidR="001B42A1" w:rsidRDefault="001B42A1" w:rsidP="00AB45D7">
            <w:pPr>
              <w:ind w:left="227" w:hanging="227"/>
              <w:jc w:val="both"/>
              <w:rPr>
                <w:rFonts w:asciiTheme="majorBidi" w:hAnsiTheme="majorBidi" w:cstheme="majorBidi"/>
                <w:sz w:val="20"/>
                <w:szCs w:val="20"/>
              </w:rPr>
            </w:pPr>
          </w:p>
          <w:p w:rsidR="001B42A1" w:rsidRPr="00AB45D7" w:rsidRDefault="001B42A1"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Pr="00AB45D7" w:rsidRDefault="00AB45D7" w:rsidP="001B42A1">
            <w:pPr>
              <w:ind w:left="227" w:hanging="227"/>
              <w:jc w:val="both"/>
              <w:rPr>
                <w:rFonts w:asciiTheme="majorBidi" w:hAnsiTheme="majorBidi" w:cstheme="majorBidi"/>
                <w:sz w:val="20"/>
                <w:szCs w:val="20"/>
              </w:rPr>
            </w:pPr>
            <w:r w:rsidRPr="00AB45D7">
              <w:rPr>
                <w:rFonts w:asciiTheme="majorBidi" w:hAnsiTheme="majorBidi" w:cstheme="majorBidi"/>
                <w:sz w:val="20"/>
                <w:szCs w:val="20"/>
              </w:rPr>
              <w:lastRenderedPageBreak/>
              <w:t xml:space="preserve">Rubin, </w:t>
            </w:r>
            <w:proofErr w:type="spellStart"/>
            <w:r w:rsidRPr="00AB45D7">
              <w:rPr>
                <w:rFonts w:asciiTheme="majorBidi" w:hAnsiTheme="majorBidi" w:cstheme="majorBidi"/>
                <w:sz w:val="20"/>
                <w:szCs w:val="20"/>
              </w:rPr>
              <w:t>Avi</w:t>
            </w:r>
            <w:proofErr w:type="spellEnd"/>
            <w:r w:rsidRPr="00AB45D7">
              <w:rPr>
                <w:rFonts w:asciiTheme="majorBidi" w:hAnsiTheme="majorBidi" w:cstheme="majorBidi"/>
                <w:sz w:val="20"/>
                <w:szCs w:val="20"/>
              </w:rPr>
              <w:t xml:space="preserve">. "Civil Disputes Between the State and Individuals in the Ottoman </w:t>
            </w:r>
            <w:proofErr w:type="spellStart"/>
            <w:r w:rsidRPr="00AB45D7">
              <w:rPr>
                <w:rFonts w:asciiTheme="majorBidi" w:hAnsiTheme="majorBidi" w:cstheme="majorBidi"/>
                <w:sz w:val="20"/>
                <w:szCs w:val="20"/>
              </w:rPr>
              <w:t>Nizamiye</w:t>
            </w:r>
            <w:proofErr w:type="spellEnd"/>
            <w:r w:rsidRPr="00AB45D7">
              <w:rPr>
                <w:rFonts w:asciiTheme="majorBidi" w:hAnsiTheme="majorBidi" w:cstheme="majorBidi"/>
                <w:sz w:val="20"/>
                <w:szCs w:val="20"/>
              </w:rPr>
              <w:t xml:space="preserve"> Courts."</w:t>
            </w:r>
            <w:r w:rsidRPr="00AB45D7">
              <w:rPr>
                <w:rFonts w:asciiTheme="majorBidi" w:hAnsiTheme="majorBidi" w:cstheme="majorBidi"/>
                <w:i/>
                <w:iCs/>
                <w:sz w:val="20"/>
                <w:szCs w:val="20"/>
              </w:rPr>
              <w:t xml:space="preserve"> Islamic Law and Society </w:t>
            </w:r>
            <w:r w:rsidRPr="00AB45D7">
              <w:rPr>
                <w:rFonts w:asciiTheme="majorBidi" w:hAnsiTheme="majorBidi" w:cstheme="majorBidi"/>
                <w:sz w:val="20"/>
                <w:szCs w:val="20"/>
              </w:rPr>
              <w:t>19(2) (2012): 257-274.</w:t>
            </w:r>
            <w:bookmarkStart w:id="0" w:name="_GoBack"/>
            <w:bookmarkEnd w:id="0"/>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"From Legal Representation to Advocacy: Attorneys and Clients in the Ottoman </w:t>
            </w:r>
            <w:proofErr w:type="spellStart"/>
            <w:r w:rsidRPr="00AB45D7">
              <w:rPr>
                <w:rFonts w:asciiTheme="majorBidi" w:hAnsiTheme="majorBidi" w:cstheme="majorBidi"/>
                <w:sz w:val="20"/>
                <w:szCs w:val="20"/>
              </w:rPr>
              <w:t>Nizamiye</w:t>
            </w:r>
            <w:proofErr w:type="spellEnd"/>
            <w:r w:rsidRPr="00AB45D7">
              <w:rPr>
                <w:rFonts w:asciiTheme="majorBidi" w:hAnsiTheme="majorBidi" w:cstheme="majorBidi"/>
                <w:sz w:val="20"/>
                <w:szCs w:val="20"/>
              </w:rPr>
              <w:t xml:space="preserve"> Courts." </w:t>
            </w:r>
            <w:r w:rsidRPr="00AB45D7">
              <w:rPr>
                <w:rFonts w:asciiTheme="majorBidi" w:hAnsiTheme="majorBidi" w:cstheme="majorBidi"/>
                <w:i/>
                <w:iCs/>
                <w:sz w:val="20"/>
                <w:szCs w:val="20"/>
              </w:rPr>
              <w:t>International Journal of Middle East Studies</w:t>
            </w:r>
            <w:r w:rsidRPr="00AB45D7">
              <w:rPr>
                <w:rFonts w:asciiTheme="majorBidi" w:hAnsiTheme="majorBidi" w:cstheme="majorBidi"/>
                <w:sz w:val="20"/>
                <w:szCs w:val="20"/>
              </w:rPr>
              <w:t xml:space="preserve"> 44(1) (2012): 111-127.</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"British Perceptions of Ottoman Judicial Reform in the Late Nineteenth Century: Some Preliminary Insights." </w:t>
            </w:r>
            <w:r w:rsidRPr="00AB45D7">
              <w:rPr>
                <w:rFonts w:asciiTheme="majorBidi" w:hAnsiTheme="majorBidi" w:cstheme="majorBidi"/>
                <w:i/>
                <w:iCs/>
                <w:sz w:val="20"/>
                <w:szCs w:val="20"/>
              </w:rPr>
              <w:t>Law and Social Inquiry</w:t>
            </w:r>
            <w:r w:rsidRPr="00AB45D7">
              <w:rPr>
                <w:rFonts w:asciiTheme="majorBidi" w:hAnsiTheme="majorBidi" w:cstheme="majorBidi"/>
                <w:sz w:val="20"/>
                <w:szCs w:val="20"/>
              </w:rPr>
              <w:t> 37(4) (2012): 991-1012.</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AB45D7">
              <w:rPr>
                <w:rFonts w:asciiTheme="majorBidi" w:hAnsiTheme="majorBidi" w:cstheme="majorBidi"/>
                <w:i/>
                <w:iCs/>
                <w:sz w:val="20"/>
                <w:szCs w:val="20"/>
              </w:rPr>
              <w:t xml:space="preserve">Ottoman </w:t>
            </w:r>
            <w:proofErr w:type="spellStart"/>
            <w:r w:rsidRPr="00AB45D7">
              <w:rPr>
                <w:rFonts w:asciiTheme="majorBidi" w:hAnsiTheme="majorBidi" w:cstheme="majorBidi"/>
                <w:i/>
                <w:iCs/>
                <w:sz w:val="20"/>
                <w:szCs w:val="20"/>
              </w:rPr>
              <w:t>Nizamiye</w:t>
            </w:r>
            <w:proofErr w:type="spellEnd"/>
            <w:r w:rsidRPr="00AB45D7">
              <w:rPr>
                <w:rFonts w:asciiTheme="majorBidi" w:hAnsiTheme="majorBidi" w:cstheme="majorBidi"/>
                <w:i/>
                <w:iCs/>
                <w:sz w:val="20"/>
                <w:szCs w:val="20"/>
              </w:rPr>
              <w:t xml:space="preserve"> Courts: Law and Modernity</w:t>
            </w:r>
            <w:r w:rsidRPr="00AB45D7">
              <w:rPr>
                <w:rFonts w:asciiTheme="majorBidi" w:hAnsiTheme="majorBidi" w:cstheme="majorBidi"/>
                <w:sz w:val="20"/>
                <w:szCs w:val="20"/>
              </w:rPr>
              <w:t xml:space="preserve">. New York: Palgrave MacMillan (2011). </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AB45D7">
              <w:rPr>
                <w:rFonts w:asciiTheme="majorBidi" w:hAnsiTheme="majorBidi" w:cstheme="majorBidi"/>
                <w:sz w:val="20"/>
                <w:szCs w:val="20"/>
              </w:rPr>
              <w:t xml:space="preserve">"Ottoman Judicial Change in the Age of Modernity: A Reappraisal." </w:t>
            </w:r>
            <w:r w:rsidRPr="00AB45D7">
              <w:rPr>
                <w:rFonts w:asciiTheme="majorBidi" w:hAnsiTheme="majorBidi" w:cstheme="majorBidi"/>
                <w:i/>
                <w:iCs/>
                <w:sz w:val="20"/>
                <w:szCs w:val="20"/>
              </w:rPr>
              <w:t>History Compass</w:t>
            </w:r>
            <w:r w:rsidRPr="00AB45D7">
              <w:rPr>
                <w:rFonts w:asciiTheme="majorBidi" w:hAnsiTheme="majorBidi" w:cstheme="majorBidi"/>
                <w:sz w:val="20"/>
                <w:szCs w:val="20"/>
              </w:rPr>
              <w:t> 7(1) (2009): 119-140.</w:t>
            </w: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B66FF6">
              <w:rPr>
                <w:sz w:val="20"/>
                <w:szCs w:val="20"/>
              </w:rPr>
              <w:t>–––––.</w:t>
            </w:r>
            <w:r>
              <w:rPr>
                <w:rFonts w:asciiTheme="majorBidi" w:hAnsiTheme="majorBidi" w:cstheme="majorBidi"/>
                <w:sz w:val="20"/>
                <w:szCs w:val="20"/>
              </w:rPr>
              <w:t xml:space="preserve"> </w:t>
            </w:r>
            <w:r w:rsidRPr="00AB45D7">
              <w:rPr>
                <w:rFonts w:asciiTheme="majorBidi" w:hAnsiTheme="majorBidi" w:cstheme="majorBidi"/>
                <w:sz w:val="20"/>
                <w:szCs w:val="20"/>
              </w:rPr>
              <w:t xml:space="preserve">"Legal Borrowing and Its Impact on Ottoman Legal Culture in the Late Nineteenth Century." </w:t>
            </w:r>
            <w:r w:rsidRPr="00AB45D7">
              <w:rPr>
                <w:rFonts w:asciiTheme="majorBidi" w:hAnsiTheme="majorBidi" w:cstheme="majorBidi"/>
                <w:i/>
                <w:iCs/>
                <w:sz w:val="20"/>
                <w:szCs w:val="20"/>
              </w:rPr>
              <w:t>Continuity and Change</w:t>
            </w:r>
            <w:r w:rsidRPr="00AB45D7">
              <w:rPr>
                <w:rFonts w:asciiTheme="majorBidi" w:hAnsiTheme="majorBidi" w:cstheme="majorBidi"/>
                <w:sz w:val="20"/>
                <w:szCs w:val="20"/>
              </w:rPr>
              <w:t xml:space="preserve"> 22(2) (2007): 279-303.</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 xml:space="preserve">Sandberg, Haim. </w:t>
            </w:r>
            <w:r w:rsidRPr="00AB45D7">
              <w:rPr>
                <w:rFonts w:asciiTheme="majorBidi" w:hAnsiTheme="majorBidi" w:cstheme="majorBidi"/>
                <w:i/>
                <w:iCs/>
                <w:sz w:val="20"/>
                <w:szCs w:val="20"/>
              </w:rPr>
              <w:t xml:space="preserve">Land Settlement in </w:t>
            </w:r>
            <w:proofErr w:type="spellStart"/>
            <w:r w:rsidRPr="00AB45D7">
              <w:rPr>
                <w:rFonts w:asciiTheme="majorBidi" w:hAnsiTheme="majorBidi" w:cstheme="majorBidi"/>
                <w:i/>
                <w:iCs/>
                <w:sz w:val="20"/>
                <w:szCs w:val="20"/>
              </w:rPr>
              <w:t>Eretz</w:t>
            </w:r>
            <w:proofErr w:type="spellEnd"/>
            <w:r w:rsidRPr="00AB45D7">
              <w:rPr>
                <w:rFonts w:asciiTheme="majorBidi" w:hAnsiTheme="majorBidi" w:cstheme="majorBidi"/>
                <w:i/>
                <w:iCs/>
                <w:sz w:val="20"/>
                <w:szCs w:val="20"/>
              </w:rPr>
              <w:t>-Israel and the State of Israel</w:t>
            </w:r>
            <w:r w:rsidRPr="00AB45D7">
              <w:rPr>
                <w:rFonts w:asciiTheme="majorBidi" w:hAnsiTheme="majorBidi" w:cstheme="majorBidi"/>
                <w:sz w:val="20"/>
                <w:szCs w:val="20"/>
              </w:rPr>
              <w:t xml:space="preserve">. Jerusalem: The Harry and Michael </w:t>
            </w:r>
            <w:proofErr w:type="spellStart"/>
            <w:r w:rsidRPr="00AB45D7">
              <w:rPr>
                <w:rFonts w:asciiTheme="majorBidi" w:hAnsiTheme="majorBidi" w:cstheme="majorBidi"/>
                <w:sz w:val="20"/>
                <w:szCs w:val="20"/>
              </w:rPr>
              <w:t>Sacher</w:t>
            </w:r>
            <w:proofErr w:type="spellEnd"/>
            <w:r w:rsidRPr="00AB45D7">
              <w:rPr>
                <w:rFonts w:asciiTheme="majorBidi" w:hAnsiTheme="majorBidi" w:cstheme="majorBidi"/>
                <w:sz w:val="20"/>
                <w:szCs w:val="20"/>
              </w:rPr>
              <w:t xml:space="preserve"> Institute for Legislative Research and Comparative Law, The Hebrew University of Jerusalem (2000) (Hebrew).</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Schölch</w:t>
            </w:r>
            <w:proofErr w:type="spellEnd"/>
            <w:r w:rsidRPr="00AB45D7">
              <w:rPr>
                <w:rFonts w:asciiTheme="majorBidi" w:hAnsiTheme="majorBidi" w:cstheme="majorBidi"/>
                <w:sz w:val="20"/>
                <w:szCs w:val="20"/>
              </w:rPr>
              <w:t xml:space="preserve">, Alexander. </w:t>
            </w:r>
            <w:r w:rsidRPr="00AB45D7">
              <w:rPr>
                <w:rFonts w:asciiTheme="majorBidi" w:hAnsiTheme="majorBidi" w:cstheme="majorBidi"/>
                <w:i/>
                <w:iCs/>
                <w:sz w:val="20"/>
                <w:szCs w:val="20"/>
              </w:rPr>
              <w:t>Palestine in Transformation, 1856-1882: Studies in Social, Economic and Political Development</w:t>
            </w:r>
            <w:r w:rsidRPr="00AB45D7">
              <w:rPr>
                <w:rFonts w:asciiTheme="majorBidi" w:hAnsiTheme="majorBidi" w:cstheme="majorBidi"/>
                <w:sz w:val="20"/>
                <w:szCs w:val="20"/>
              </w:rPr>
              <w:t xml:space="preserve">. Translated by William C. Young and Michael C. </w:t>
            </w:r>
            <w:proofErr w:type="spellStart"/>
            <w:r w:rsidRPr="00AB45D7">
              <w:rPr>
                <w:rFonts w:asciiTheme="majorBidi" w:hAnsiTheme="majorBidi" w:cstheme="majorBidi"/>
                <w:sz w:val="20"/>
                <w:szCs w:val="20"/>
              </w:rPr>
              <w:t>Gerrity</w:t>
            </w:r>
            <w:proofErr w:type="spellEnd"/>
            <w:r w:rsidRPr="00AB45D7">
              <w:rPr>
                <w:rFonts w:asciiTheme="majorBidi" w:hAnsiTheme="majorBidi" w:cstheme="majorBidi"/>
                <w:sz w:val="20"/>
                <w:szCs w:val="20"/>
              </w:rPr>
              <w:t>. Washington: Institute for Palestine Studies (1993).</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Shechter</w:t>
            </w:r>
            <w:proofErr w:type="spellEnd"/>
            <w:r w:rsidRPr="00AB45D7">
              <w:rPr>
                <w:rFonts w:asciiTheme="majorBidi" w:hAnsiTheme="majorBidi" w:cstheme="majorBidi"/>
                <w:sz w:val="20"/>
                <w:szCs w:val="20"/>
              </w:rPr>
              <w:t xml:space="preserve">, Yitzhak. "Land Registration in </w:t>
            </w:r>
            <w:proofErr w:type="spellStart"/>
            <w:r w:rsidRPr="00AB45D7">
              <w:rPr>
                <w:rFonts w:asciiTheme="majorBidi" w:hAnsiTheme="majorBidi" w:cstheme="majorBidi"/>
                <w:sz w:val="20"/>
                <w:szCs w:val="20"/>
              </w:rPr>
              <w:t>Eretz</w:t>
            </w:r>
            <w:proofErr w:type="spellEnd"/>
            <w:r w:rsidRPr="00AB45D7">
              <w:rPr>
                <w:rFonts w:asciiTheme="majorBidi" w:hAnsiTheme="majorBidi" w:cstheme="majorBidi"/>
                <w:sz w:val="20"/>
                <w:szCs w:val="20"/>
              </w:rPr>
              <w:t xml:space="preserve">-Israel in the Second Half of the 19th Century." </w:t>
            </w:r>
            <w:r w:rsidRPr="00AB45D7">
              <w:rPr>
                <w:rFonts w:asciiTheme="majorBidi" w:hAnsiTheme="majorBidi" w:cstheme="majorBidi"/>
                <w:i/>
                <w:iCs/>
                <w:sz w:val="20"/>
                <w:szCs w:val="20"/>
              </w:rPr>
              <w:t>Cathedra</w:t>
            </w:r>
            <w:r w:rsidRPr="00AB45D7">
              <w:rPr>
                <w:rFonts w:asciiTheme="majorBidi" w:hAnsiTheme="majorBidi" w:cstheme="majorBidi"/>
                <w:sz w:val="20"/>
                <w:szCs w:val="20"/>
              </w:rPr>
              <w:t xml:space="preserve"> 45 (1987): 147-160 (Hebrew).</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Shetreet</w:t>
            </w:r>
            <w:proofErr w:type="spellEnd"/>
            <w:r w:rsidRPr="00AB45D7">
              <w:rPr>
                <w:rFonts w:asciiTheme="majorBidi" w:hAnsiTheme="majorBidi" w:cstheme="majorBidi"/>
                <w:sz w:val="20"/>
                <w:szCs w:val="20"/>
              </w:rPr>
              <w:t xml:space="preserve">, Shimon. </w:t>
            </w:r>
            <w:r w:rsidRPr="00AB45D7">
              <w:rPr>
                <w:rFonts w:asciiTheme="majorBidi" w:hAnsiTheme="majorBidi" w:cstheme="majorBidi"/>
                <w:i/>
                <w:iCs/>
                <w:sz w:val="20"/>
                <w:szCs w:val="20"/>
              </w:rPr>
              <w:t>On Adjudication: Justice on Trial</w:t>
            </w:r>
            <w:r w:rsidRPr="00AB45D7">
              <w:rPr>
                <w:rFonts w:asciiTheme="majorBidi" w:hAnsiTheme="majorBidi" w:cstheme="majorBidi"/>
                <w:sz w:val="20"/>
                <w:szCs w:val="20"/>
              </w:rPr>
              <w:t xml:space="preserve">. Tel Aviv: </w:t>
            </w:r>
            <w:proofErr w:type="spellStart"/>
            <w:r w:rsidRPr="00AB45D7">
              <w:rPr>
                <w:rFonts w:asciiTheme="majorBidi" w:hAnsiTheme="majorBidi" w:cstheme="majorBidi"/>
                <w:sz w:val="20"/>
                <w:szCs w:val="20"/>
              </w:rPr>
              <w:t>Miskal</w:t>
            </w:r>
            <w:proofErr w:type="spellEnd"/>
            <w:r w:rsidRPr="00AB45D7">
              <w:rPr>
                <w:rFonts w:asciiTheme="majorBidi" w:hAnsiTheme="majorBidi" w:cstheme="majorBidi"/>
                <w:sz w:val="20"/>
                <w:szCs w:val="20"/>
              </w:rPr>
              <w:t xml:space="preserve"> - </w:t>
            </w:r>
            <w:proofErr w:type="spellStart"/>
            <w:r w:rsidRPr="00AB45D7">
              <w:rPr>
                <w:rFonts w:asciiTheme="majorBidi" w:hAnsiTheme="majorBidi" w:cstheme="majorBidi"/>
                <w:sz w:val="20"/>
                <w:szCs w:val="20"/>
              </w:rPr>
              <w:t>Yedioth</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Ahronoth</w:t>
            </w:r>
            <w:proofErr w:type="spellEnd"/>
            <w:r w:rsidRPr="00AB45D7">
              <w:rPr>
                <w:rFonts w:asciiTheme="majorBidi" w:hAnsiTheme="majorBidi" w:cstheme="majorBidi"/>
                <w:sz w:val="20"/>
                <w:szCs w:val="20"/>
              </w:rPr>
              <w:t xml:space="preserve"> Books and Chemed Books (2004) (Hebrew).   </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r w:rsidRPr="00AB45D7">
              <w:rPr>
                <w:rFonts w:asciiTheme="majorBidi" w:hAnsiTheme="majorBidi" w:cstheme="majorBidi"/>
                <w:sz w:val="20"/>
                <w:szCs w:val="20"/>
              </w:rPr>
              <w:t xml:space="preserve">Tucker, Judith E. </w:t>
            </w:r>
            <w:r w:rsidRPr="00AB45D7">
              <w:rPr>
                <w:rFonts w:asciiTheme="majorBidi" w:hAnsiTheme="majorBidi" w:cstheme="majorBidi"/>
                <w:i/>
                <w:iCs/>
                <w:sz w:val="20"/>
                <w:szCs w:val="20"/>
              </w:rPr>
              <w:t>In the House of the Law: Gender and Islamic Law in Ottoman Syria and Palestine</w:t>
            </w:r>
            <w:r w:rsidRPr="00AB45D7">
              <w:rPr>
                <w:rFonts w:asciiTheme="majorBidi" w:hAnsiTheme="majorBidi" w:cstheme="majorBidi"/>
                <w:sz w:val="20"/>
                <w:szCs w:val="20"/>
              </w:rPr>
              <w:t>. Berkeley: University of California Press (1998).</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Westreich</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Elimelech</w:t>
            </w:r>
            <w:proofErr w:type="spellEnd"/>
            <w:r w:rsidRPr="00AB45D7">
              <w:rPr>
                <w:rFonts w:asciiTheme="majorBidi" w:hAnsiTheme="majorBidi" w:cstheme="majorBidi"/>
                <w:sz w:val="20"/>
                <w:szCs w:val="20"/>
              </w:rPr>
              <w:t xml:space="preserve">. "Levirate Marriage in Judicial Decisions of Nineteenth Century Jerusalem." </w:t>
            </w:r>
            <w:proofErr w:type="spellStart"/>
            <w:r w:rsidRPr="00AB45D7">
              <w:rPr>
                <w:rFonts w:asciiTheme="majorBidi" w:hAnsiTheme="majorBidi" w:cstheme="majorBidi"/>
                <w:i/>
                <w:iCs/>
                <w:sz w:val="20"/>
                <w:szCs w:val="20"/>
              </w:rPr>
              <w:t>Diné</w:t>
            </w:r>
            <w:proofErr w:type="spellEnd"/>
            <w:r w:rsidRPr="00AB45D7">
              <w:rPr>
                <w:rFonts w:asciiTheme="majorBidi" w:hAnsiTheme="majorBidi" w:cstheme="majorBidi"/>
                <w:i/>
                <w:iCs/>
                <w:sz w:val="20"/>
                <w:szCs w:val="20"/>
              </w:rPr>
              <w:t xml:space="preserve"> Israel</w:t>
            </w:r>
            <w:r w:rsidRPr="00AB45D7">
              <w:rPr>
                <w:rFonts w:asciiTheme="majorBidi" w:hAnsiTheme="majorBidi" w:cstheme="majorBidi"/>
                <w:sz w:val="20"/>
                <w:szCs w:val="20"/>
              </w:rPr>
              <w:t xml:space="preserve"> 29 (2013): 155-216 (Hebrew).</w:t>
            </w: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AB45D7">
              <w:rPr>
                <w:rFonts w:asciiTheme="majorBidi" w:hAnsiTheme="majorBidi" w:cstheme="majorBidi"/>
                <w:sz w:val="20"/>
                <w:szCs w:val="20"/>
              </w:rPr>
              <w:t xml:space="preserve">"Jewish Judicial Autonomy in Nineteenth Century Jerusalem: Background, Jurisdiction, Structure." </w:t>
            </w:r>
            <w:r w:rsidRPr="00AB45D7">
              <w:rPr>
                <w:rFonts w:asciiTheme="majorBidi" w:hAnsiTheme="majorBidi" w:cstheme="majorBidi"/>
                <w:i/>
                <w:iCs/>
                <w:sz w:val="20"/>
                <w:szCs w:val="20"/>
              </w:rPr>
              <w:t>Jewish Law Association Studies</w:t>
            </w:r>
            <w:r w:rsidRPr="00AB45D7">
              <w:rPr>
                <w:rFonts w:asciiTheme="majorBidi" w:hAnsiTheme="majorBidi" w:cstheme="majorBidi"/>
                <w:sz w:val="20"/>
                <w:szCs w:val="20"/>
              </w:rPr>
              <w:t xml:space="preserve"> 22 (2012): 303-330.</w:t>
            </w: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bookmarkStart w:id="1" w:name="RANGE!A664"/>
            <w:bookmarkStart w:id="2" w:name="RANGE!A857"/>
            <w:bookmarkEnd w:id="1"/>
            <w:r w:rsidRPr="00B66FF6">
              <w:rPr>
                <w:sz w:val="20"/>
                <w:szCs w:val="20"/>
              </w:rPr>
              <w:t>–––––.</w:t>
            </w:r>
            <w:r>
              <w:rPr>
                <w:sz w:val="20"/>
                <w:szCs w:val="20"/>
              </w:rPr>
              <w:t xml:space="preserve"> </w:t>
            </w:r>
            <w:r w:rsidRPr="00AB45D7">
              <w:rPr>
                <w:rFonts w:asciiTheme="majorBidi" w:hAnsiTheme="majorBidi" w:cstheme="majorBidi"/>
                <w:sz w:val="20"/>
                <w:szCs w:val="20"/>
              </w:rPr>
              <w:t xml:space="preserve">"The Official Rabbinical Court of Jerusalem (1841-1921), Its Composition and Status." </w:t>
            </w:r>
            <w:r w:rsidRPr="00AB45D7">
              <w:rPr>
                <w:rFonts w:asciiTheme="majorBidi" w:hAnsiTheme="majorBidi" w:cstheme="majorBidi"/>
                <w:i/>
                <w:iCs/>
                <w:sz w:val="20"/>
                <w:szCs w:val="20"/>
              </w:rPr>
              <w:t>The Jewish Law Annual</w:t>
            </w:r>
            <w:r w:rsidRPr="00AB45D7">
              <w:rPr>
                <w:rFonts w:asciiTheme="majorBidi" w:hAnsiTheme="majorBidi" w:cstheme="majorBidi"/>
                <w:sz w:val="20"/>
                <w:szCs w:val="20"/>
              </w:rPr>
              <w:t xml:space="preserve"> 19 (2011): 235-260 (Hebrew).</w:t>
            </w:r>
            <w:bookmarkEnd w:id="2"/>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Yazbak</w:t>
            </w:r>
            <w:proofErr w:type="spellEnd"/>
            <w:r w:rsidRPr="00AB45D7">
              <w:rPr>
                <w:rFonts w:asciiTheme="majorBidi" w:hAnsiTheme="majorBidi" w:cstheme="majorBidi"/>
                <w:sz w:val="20"/>
                <w:szCs w:val="20"/>
              </w:rPr>
              <w:t xml:space="preserve">, Mahmoud. "Jews Tried in the Muslim Court of Haifa in the Late Ottoman Period: A Study in Judicial Procedures and Their Social Significance." In Daniel </w:t>
            </w:r>
            <w:proofErr w:type="spellStart"/>
            <w:r w:rsidRPr="00AB45D7">
              <w:rPr>
                <w:rFonts w:asciiTheme="majorBidi" w:hAnsiTheme="majorBidi" w:cstheme="majorBidi"/>
                <w:sz w:val="20"/>
                <w:szCs w:val="20"/>
              </w:rPr>
              <w:t>Gutwein</w:t>
            </w:r>
            <w:proofErr w:type="spellEnd"/>
            <w:r w:rsidRPr="00AB45D7">
              <w:rPr>
                <w:rFonts w:asciiTheme="majorBidi" w:hAnsiTheme="majorBidi" w:cstheme="majorBidi"/>
                <w:sz w:val="20"/>
                <w:szCs w:val="20"/>
              </w:rPr>
              <w:t xml:space="preserve"> and Menachem </w:t>
            </w:r>
            <w:proofErr w:type="spellStart"/>
            <w:r w:rsidRPr="00AB45D7">
              <w:rPr>
                <w:rFonts w:asciiTheme="majorBidi" w:hAnsiTheme="majorBidi" w:cstheme="majorBidi"/>
                <w:sz w:val="20"/>
                <w:szCs w:val="20"/>
              </w:rPr>
              <w:t>Mautner</w:t>
            </w:r>
            <w:proofErr w:type="spellEnd"/>
            <w:r w:rsidRPr="00AB45D7">
              <w:rPr>
                <w:rFonts w:asciiTheme="majorBidi" w:hAnsiTheme="majorBidi" w:cstheme="majorBidi"/>
                <w:sz w:val="20"/>
                <w:szCs w:val="20"/>
              </w:rPr>
              <w:t xml:space="preserve"> eds. </w:t>
            </w:r>
            <w:r w:rsidRPr="00AB45D7">
              <w:rPr>
                <w:rFonts w:asciiTheme="majorBidi" w:hAnsiTheme="majorBidi" w:cstheme="majorBidi"/>
                <w:i/>
                <w:iCs/>
                <w:sz w:val="20"/>
                <w:szCs w:val="20"/>
              </w:rPr>
              <w:t>Law and History</w:t>
            </w:r>
            <w:r w:rsidRPr="00AB45D7">
              <w:rPr>
                <w:rFonts w:asciiTheme="majorBidi" w:hAnsiTheme="majorBidi" w:cstheme="majorBidi"/>
                <w:sz w:val="20"/>
                <w:szCs w:val="20"/>
              </w:rPr>
              <w:t xml:space="preserve">. Jerusalem: The </w:t>
            </w:r>
            <w:proofErr w:type="spellStart"/>
            <w:r w:rsidRPr="00AB45D7">
              <w:rPr>
                <w:rFonts w:asciiTheme="majorBidi" w:hAnsiTheme="majorBidi" w:cstheme="majorBidi"/>
                <w:sz w:val="20"/>
                <w:szCs w:val="20"/>
              </w:rPr>
              <w:t>Zalman</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Shazar</w:t>
            </w:r>
            <w:proofErr w:type="spellEnd"/>
            <w:r w:rsidRPr="00AB45D7">
              <w:rPr>
                <w:rFonts w:asciiTheme="majorBidi" w:hAnsiTheme="majorBidi" w:cstheme="majorBidi"/>
                <w:sz w:val="20"/>
                <w:szCs w:val="20"/>
              </w:rPr>
              <w:t xml:space="preserve"> Center for Jewish History (1999): 147-163 (Hebrew).</w:t>
            </w:r>
          </w:p>
          <w:p w:rsidR="00AB45D7" w:rsidRPr="00AB45D7" w:rsidRDefault="00AB45D7" w:rsidP="00AB45D7">
            <w:pPr>
              <w:ind w:left="227" w:hanging="227"/>
              <w:jc w:val="both"/>
              <w:rPr>
                <w:rFonts w:asciiTheme="majorBidi" w:hAnsiTheme="majorBidi" w:cstheme="majorBidi"/>
                <w:sz w:val="20"/>
                <w:szCs w:val="20"/>
              </w:rPr>
            </w:pPr>
          </w:p>
        </w:tc>
      </w:tr>
      <w:tr w:rsidR="00AB45D7" w:rsidRPr="00AB45D7" w:rsidTr="00AB45D7">
        <w:trPr>
          <w:trHeight w:val="285"/>
        </w:trPr>
        <w:tc>
          <w:tcPr>
            <w:tcW w:w="8670" w:type="dxa"/>
            <w:noWrap/>
            <w:hideMark/>
          </w:tcPr>
          <w:p w:rsidR="00AB45D7" w:rsidRPr="00AB45D7" w:rsidRDefault="00AB45D7" w:rsidP="00AB45D7">
            <w:pPr>
              <w:ind w:left="227" w:hanging="227"/>
              <w:jc w:val="both"/>
              <w:rPr>
                <w:rFonts w:asciiTheme="majorBidi" w:hAnsiTheme="majorBidi" w:cstheme="majorBidi"/>
                <w:sz w:val="20"/>
                <w:szCs w:val="20"/>
              </w:rPr>
            </w:pPr>
            <w:proofErr w:type="spellStart"/>
            <w:r w:rsidRPr="00AB45D7">
              <w:rPr>
                <w:rFonts w:asciiTheme="majorBidi" w:hAnsiTheme="majorBidi" w:cstheme="majorBidi"/>
                <w:sz w:val="20"/>
                <w:szCs w:val="20"/>
              </w:rPr>
              <w:t>Zilbiger</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Zvi</w:t>
            </w:r>
            <w:proofErr w:type="spellEnd"/>
            <w:r w:rsidRPr="00AB45D7">
              <w:rPr>
                <w:rFonts w:asciiTheme="majorBidi" w:hAnsiTheme="majorBidi" w:cstheme="majorBidi"/>
                <w:sz w:val="20"/>
                <w:szCs w:val="20"/>
              </w:rPr>
              <w:t xml:space="preserve">. "Law and Administration Before the Establishment of the State." In </w:t>
            </w:r>
            <w:proofErr w:type="spellStart"/>
            <w:r w:rsidRPr="00AB45D7">
              <w:rPr>
                <w:rFonts w:asciiTheme="majorBidi" w:hAnsiTheme="majorBidi" w:cstheme="majorBidi"/>
                <w:sz w:val="20"/>
                <w:szCs w:val="20"/>
              </w:rPr>
              <w:t>Zvi</w:t>
            </w:r>
            <w:proofErr w:type="spellEnd"/>
            <w:r w:rsidRPr="00AB45D7">
              <w:rPr>
                <w:rFonts w:asciiTheme="majorBidi" w:hAnsiTheme="majorBidi" w:cstheme="majorBidi"/>
                <w:sz w:val="20"/>
                <w:szCs w:val="20"/>
              </w:rPr>
              <w:t xml:space="preserve"> </w:t>
            </w:r>
            <w:proofErr w:type="spellStart"/>
            <w:r w:rsidRPr="00AB45D7">
              <w:rPr>
                <w:rFonts w:asciiTheme="majorBidi" w:hAnsiTheme="majorBidi" w:cstheme="majorBidi"/>
                <w:sz w:val="20"/>
                <w:szCs w:val="20"/>
              </w:rPr>
              <w:t>Zilbiger</w:t>
            </w:r>
            <w:proofErr w:type="spellEnd"/>
            <w:r w:rsidRPr="00AB45D7">
              <w:rPr>
                <w:rFonts w:asciiTheme="majorBidi" w:hAnsiTheme="majorBidi" w:cstheme="majorBidi"/>
                <w:sz w:val="20"/>
                <w:szCs w:val="20"/>
              </w:rPr>
              <w:t xml:space="preserve"> ed.</w:t>
            </w:r>
            <w:r w:rsidRPr="00AB45D7">
              <w:rPr>
                <w:rFonts w:asciiTheme="majorBidi" w:hAnsiTheme="majorBidi" w:cstheme="majorBidi"/>
                <w:i/>
                <w:iCs/>
                <w:sz w:val="20"/>
                <w:szCs w:val="20"/>
              </w:rPr>
              <w:t xml:space="preserve"> Law and Administration in Israel:</w:t>
            </w:r>
            <w:r w:rsidRPr="00AB45D7">
              <w:rPr>
                <w:rFonts w:asciiTheme="majorBidi" w:hAnsiTheme="majorBidi" w:cstheme="majorBidi"/>
                <w:sz w:val="20"/>
                <w:szCs w:val="20"/>
              </w:rPr>
              <w:t xml:space="preserve"> </w:t>
            </w:r>
            <w:r w:rsidRPr="00AB45D7">
              <w:rPr>
                <w:rFonts w:asciiTheme="majorBidi" w:hAnsiTheme="majorBidi" w:cstheme="majorBidi"/>
                <w:i/>
                <w:iCs/>
                <w:sz w:val="20"/>
                <w:szCs w:val="20"/>
              </w:rPr>
              <w:t>A Collection of Lectures</w:t>
            </w:r>
            <w:r w:rsidRPr="00AB45D7">
              <w:rPr>
                <w:rFonts w:asciiTheme="majorBidi" w:hAnsiTheme="majorBidi" w:cstheme="majorBidi"/>
                <w:sz w:val="20"/>
                <w:szCs w:val="20"/>
              </w:rPr>
              <w:t>. Jerusalem: The Government Press (1954): 19-38 (Hebrew).</w:t>
            </w:r>
          </w:p>
        </w:tc>
      </w:tr>
    </w:tbl>
    <w:p w:rsidR="006E7EF1" w:rsidRPr="00DC3C33" w:rsidRDefault="006E7EF1" w:rsidP="006E7EF1">
      <w:pPr>
        <w:spacing w:after="0" w:line="240" w:lineRule="auto"/>
        <w:ind w:left="227" w:hanging="227"/>
        <w:jc w:val="both"/>
        <w:rPr>
          <w:rFonts w:asciiTheme="majorBidi" w:hAnsiTheme="majorBidi" w:cstheme="majorBidi"/>
          <w:sz w:val="20"/>
          <w:szCs w:val="20"/>
        </w:rPr>
      </w:pPr>
    </w:p>
    <w:sectPr w:rsidR="006E7EF1" w:rsidRPr="00DC3C33" w:rsidSect="0001367B">
      <w:footerReference w:type="default" r:id="rId8"/>
      <w:pgSz w:w="11906" w:h="16838"/>
      <w:pgMar w:top="1440" w:right="1800" w:bottom="1440" w:left="1800" w:header="2665" w:footer="340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0B" w:rsidRDefault="001C150B" w:rsidP="00372782">
      <w:pPr>
        <w:spacing w:after="0" w:line="240" w:lineRule="auto"/>
      </w:pPr>
      <w:r>
        <w:separator/>
      </w:r>
    </w:p>
  </w:endnote>
  <w:endnote w:type="continuationSeparator" w:id="0">
    <w:p w:rsidR="001C150B" w:rsidRDefault="001C150B" w:rsidP="0037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altName w:val="Times New Roman"/>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269086"/>
      <w:docPartObj>
        <w:docPartGallery w:val="Page Numbers (Bottom of Page)"/>
        <w:docPartUnique/>
      </w:docPartObj>
    </w:sdtPr>
    <w:sdtEndPr>
      <w:rPr>
        <w:cs/>
      </w:rPr>
    </w:sdtEndPr>
    <w:sdtContent>
      <w:p w:rsidR="00317C78" w:rsidRDefault="00317C78">
        <w:pPr>
          <w:pStyle w:val="a6"/>
          <w:jc w:val="center"/>
          <w:rPr>
            <w:rtl/>
            <w:cs/>
          </w:rPr>
        </w:pPr>
        <w:r w:rsidRPr="00372782">
          <w:rPr>
            <w:rFonts w:asciiTheme="majorBidi" w:hAnsiTheme="majorBidi" w:cstheme="majorBidi"/>
            <w:sz w:val="20"/>
            <w:szCs w:val="20"/>
          </w:rPr>
          <w:fldChar w:fldCharType="begin"/>
        </w:r>
        <w:r w:rsidRPr="00372782">
          <w:rPr>
            <w:rFonts w:asciiTheme="majorBidi" w:hAnsiTheme="majorBidi" w:cstheme="majorBidi"/>
            <w:sz w:val="20"/>
            <w:szCs w:val="20"/>
            <w:rtl/>
            <w:cs/>
          </w:rPr>
          <w:instrText>PAGE   \* MERGEFORMAT</w:instrText>
        </w:r>
        <w:r w:rsidRPr="00372782">
          <w:rPr>
            <w:rFonts w:asciiTheme="majorBidi" w:hAnsiTheme="majorBidi" w:cstheme="majorBidi"/>
            <w:sz w:val="20"/>
            <w:szCs w:val="20"/>
          </w:rPr>
          <w:fldChar w:fldCharType="separate"/>
        </w:r>
        <w:r w:rsidR="001B42A1" w:rsidRPr="001B42A1">
          <w:rPr>
            <w:rFonts w:asciiTheme="majorBidi" w:hAnsiTheme="majorBidi" w:cs="Times New Roman"/>
            <w:noProof/>
            <w:sz w:val="20"/>
            <w:szCs w:val="20"/>
            <w:lang w:val="he-IL"/>
          </w:rPr>
          <w:t>6</w:t>
        </w:r>
        <w:r w:rsidRPr="00372782">
          <w:rPr>
            <w:rFonts w:asciiTheme="majorBidi" w:hAnsiTheme="majorBidi" w:cstheme="majorBidi"/>
            <w:sz w:val="20"/>
            <w:szCs w:val="20"/>
          </w:rPr>
          <w:fldChar w:fldCharType="end"/>
        </w:r>
      </w:p>
    </w:sdtContent>
  </w:sdt>
  <w:p w:rsidR="00317C78" w:rsidRDefault="00317C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0B" w:rsidRDefault="001C150B" w:rsidP="00372782">
      <w:pPr>
        <w:spacing w:after="0" w:line="240" w:lineRule="auto"/>
      </w:pPr>
      <w:r>
        <w:separator/>
      </w:r>
    </w:p>
  </w:footnote>
  <w:footnote w:type="continuationSeparator" w:id="0">
    <w:p w:rsidR="001C150B" w:rsidRDefault="001C150B" w:rsidP="0037278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D4"/>
    <w:rsid w:val="00000419"/>
    <w:rsid w:val="00003B24"/>
    <w:rsid w:val="00004FC6"/>
    <w:rsid w:val="00005B46"/>
    <w:rsid w:val="00006075"/>
    <w:rsid w:val="00006192"/>
    <w:rsid w:val="0000650F"/>
    <w:rsid w:val="00006FA3"/>
    <w:rsid w:val="00007348"/>
    <w:rsid w:val="0001033A"/>
    <w:rsid w:val="00012FD4"/>
    <w:rsid w:val="000135BD"/>
    <w:rsid w:val="0001367B"/>
    <w:rsid w:val="00016C22"/>
    <w:rsid w:val="000179CC"/>
    <w:rsid w:val="00017ABB"/>
    <w:rsid w:val="00023780"/>
    <w:rsid w:val="000242EC"/>
    <w:rsid w:val="00027A01"/>
    <w:rsid w:val="00032000"/>
    <w:rsid w:val="00032130"/>
    <w:rsid w:val="000342C4"/>
    <w:rsid w:val="00034AFB"/>
    <w:rsid w:val="0004396B"/>
    <w:rsid w:val="000445B4"/>
    <w:rsid w:val="00044AD4"/>
    <w:rsid w:val="00044B10"/>
    <w:rsid w:val="00045C89"/>
    <w:rsid w:val="00053156"/>
    <w:rsid w:val="00053219"/>
    <w:rsid w:val="00054021"/>
    <w:rsid w:val="00056824"/>
    <w:rsid w:val="00057390"/>
    <w:rsid w:val="00060738"/>
    <w:rsid w:val="00062BE9"/>
    <w:rsid w:val="00062CFB"/>
    <w:rsid w:val="00063784"/>
    <w:rsid w:val="00064BC2"/>
    <w:rsid w:val="00064BFD"/>
    <w:rsid w:val="00065172"/>
    <w:rsid w:val="00065BD0"/>
    <w:rsid w:val="00066984"/>
    <w:rsid w:val="000707AE"/>
    <w:rsid w:val="00070803"/>
    <w:rsid w:val="0007080E"/>
    <w:rsid w:val="00070972"/>
    <w:rsid w:val="00072558"/>
    <w:rsid w:val="00073D3E"/>
    <w:rsid w:val="0007568C"/>
    <w:rsid w:val="00076F55"/>
    <w:rsid w:val="000810B9"/>
    <w:rsid w:val="000816C2"/>
    <w:rsid w:val="0008454C"/>
    <w:rsid w:val="00086730"/>
    <w:rsid w:val="00086A43"/>
    <w:rsid w:val="00087664"/>
    <w:rsid w:val="00087859"/>
    <w:rsid w:val="00090055"/>
    <w:rsid w:val="00090B15"/>
    <w:rsid w:val="00093408"/>
    <w:rsid w:val="00094B40"/>
    <w:rsid w:val="00094FEA"/>
    <w:rsid w:val="00096AD8"/>
    <w:rsid w:val="00097B81"/>
    <w:rsid w:val="000A0B7D"/>
    <w:rsid w:val="000A0CB9"/>
    <w:rsid w:val="000A5CBF"/>
    <w:rsid w:val="000A6FF9"/>
    <w:rsid w:val="000A798D"/>
    <w:rsid w:val="000B04BD"/>
    <w:rsid w:val="000B3530"/>
    <w:rsid w:val="000B4A53"/>
    <w:rsid w:val="000B5CF5"/>
    <w:rsid w:val="000B642A"/>
    <w:rsid w:val="000B71A8"/>
    <w:rsid w:val="000C27F8"/>
    <w:rsid w:val="000C61FB"/>
    <w:rsid w:val="000C64FD"/>
    <w:rsid w:val="000C723E"/>
    <w:rsid w:val="000C7C20"/>
    <w:rsid w:val="000D0C4D"/>
    <w:rsid w:val="000D1598"/>
    <w:rsid w:val="000D182E"/>
    <w:rsid w:val="000D4A57"/>
    <w:rsid w:val="000D610D"/>
    <w:rsid w:val="000E2A3D"/>
    <w:rsid w:val="000E3FE3"/>
    <w:rsid w:val="000E47F4"/>
    <w:rsid w:val="000E6165"/>
    <w:rsid w:val="000E65FE"/>
    <w:rsid w:val="000E7C9E"/>
    <w:rsid w:val="000F0FC1"/>
    <w:rsid w:val="000F10FB"/>
    <w:rsid w:val="000F29B8"/>
    <w:rsid w:val="001026F5"/>
    <w:rsid w:val="00102AA6"/>
    <w:rsid w:val="001077C9"/>
    <w:rsid w:val="001077D9"/>
    <w:rsid w:val="00107E3B"/>
    <w:rsid w:val="00110176"/>
    <w:rsid w:val="001113CF"/>
    <w:rsid w:val="00111614"/>
    <w:rsid w:val="00112A7F"/>
    <w:rsid w:val="00112E9E"/>
    <w:rsid w:val="00113332"/>
    <w:rsid w:val="001138FF"/>
    <w:rsid w:val="0011435C"/>
    <w:rsid w:val="0011618D"/>
    <w:rsid w:val="001178AE"/>
    <w:rsid w:val="00120797"/>
    <w:rsid w:val="0012097B"/>
    <w:rsid w:val="00122CAF"/>
    <w:rsid w:val="001234D1"/>
    <w:rsid w:val="0012602B"/>
    <w:rsid w:val="00126A9D"/>
    <w:rsid w:val="001271CF"/>
    <w:rsid w:val="00131BF8"/>
    <w:rsid w:val="00132044"/>
    <w:rsid w:val="00132912"/>
    <w:rsid w:val="00134F8D"/>
    <w:rsid w:val="0013733F"/>
    <w:rsid w:val="0014293F"/>
    <w:rsid w:val="00143481"/>
    <w:rsid w:val="00144FE0"/>
    <w:rsid w:val="00145111"/>
    <w:rsid w:val="00145804"/>
    <w:rsid w:val="00145944"/>
    <w:rsid w:val="00146BD7"/>
    <w:rsid w:val="00146FBC"/>
    <w:rsid w:val="00147ABC"/>
    <w:rsid w:val="00147B48"/>
    <w:rsid w:val="001506FC"/>
    <w:rsid w:val="00151942"/>
    <w:rsid w:val="00152933"/>
    <w:rsid w:val="00154C07"/>
    <w:rsid w:val="00155A96"/>
    <w:rsid w:val="00156893"/>
    <w:rsid w:val="001572E1"/>
    <w:rsid w:val="0016042C"/>
    <w:rsid w:val="00161AEB"/>
    <w:rsid w:val="0017006B"/>
    <w:rsid w:val="00170114"/>
    <w:rsid w:val="00171965"/>
    <w:rsid w:val="00171E9D"/>
    <w:rsid w:val="00175872"/>
    <w:rsid w:val="00181A31"/>
    <w:rsid w:val="00183FEB"/>
    <w:rsid w:val="00184BE6"/>
    <w:rsid w:val="001867FD"/>
    <w:rsid w:val="001873B0"/>
    <w:rsid w:val="00187BE2"/>
    <w:rsid w:val="001958FC"/>
    <w:rsid w:val="001964B4"/>
    <w:rsid w:val="001967DA"/>
    <w:rsid w:val="0019774F"/>
    <w:rsid w:val="00197AA3"/>
    <w:rsid w:val="00197E4C"/>
    <w:rsid w:val="001A7669"/>
    <w:rsid w:val="001B0419"/>
    <w:rsid w:val="001B0A61"/>
    <w:rsid w:val="001B2486"/>
    <w:rsid w:val="001B42A1"/>
    <w:rsid w:val="001C150B"/>
    <w:rsid w:val="001C3F8B"/>
    <w:rsid w:val="001C5DCA"/>
    <w:rsid w:val="001C67C5"/>
    <w:rsid w:val="001D08EF"/>
    <w:rsid w:val="001D17A0"/>
    <w:rsid w:val="001D62E7"/>
    <w:rsid w:val="001D76AE"/>
    <w:rsid w:val="001E0ACF"/>
    <w:rsid w:val="001E1499"/>
    <w:rsid w:val="001E2B2F"/>
    <w:rsid w:val="001E32F6"/>
    <w:rsid w:val="001E3430"/>
    <w:rsid w:val="001E4874"/>
    <w:rsid w:val="001E6972"/>
    <w:rsid w:val="001F00C8"/>
    <w:rsid w:val="001F18E2"/>
    <w:rsid w:val="001F1C41"/>
    <w:rsid w:val="001F2B38"/>
    <w:rsid w:val="001F67F0"/>
    <w:rsid w:val="001F7AFE"/>
    <w:rsid w:val="002016F1"/>
    <w:rsid w:val="00204D60"/>
    <w:rsid w:val="002053F8"/>
    <w:rsid w:val="00205C99"/>
    <w:rsid w:val="00206EA5"/>
    <w:rsid w:val="00207740"/>
    <w:rsid w:val="00210456"/>
    <w:rsid w:val="00210B09"/>
    <w:rsid w:val="00212125"/>
    <w:rsid w:val="002139A5"/>
    <w:rsid w:val="002154FB"/>
    <w:rsid w:val="00215A33"/>
    <w:rsid w:val="00221B5E"/>
    <w:rsid w:val="002222C9"/>
    <w:rsid w:val="00223358"/>
    <w:rsid w:val="00223379"/>
    <w:rsid w:val="0022504A"/>
    <w:rsid w:val="0022537C"/>
    <w:rsid w:val="002259EA"/>
    <w:rsid w:val="00226D74"/>
    <w:rsid w:val="002270DB"/>
    <w:rsid w:val="00227824"/>
    <w:rsid w:val="00231AEF"/>
    <w:rsid w:val="00233793"/>
    <w:rsid w:val="0023432E"/>
    <w:rsid w:val="0024181C"/>
    <w:rsid w:val="00242ACE"/>
    <w:rsid w:val="00242D86"/>
    <w:rsid w:val="002443BB"/>
    <w:rsid w:val="00250890"/>
    <w:rsid w:val="00252879"/>
    <w:rsid w:val="0025465B"/>
    <w:rsid w:val="00256388"/>
    <w:rsid w:val="00257864"/>
    <w:rsid w:val="00262470"/>
    <w:rsid w:val="00262F7A"/>
    <w:rsid w:val="00263780"/>
    <w:rsid w:val="00264460"/>
    <w:rsid w:val="002712F8"/>
    <w:rsid w:val="002758AA"/>
    <w:rsid w:val="002762AA"/>
    <w:rsid w:val="00277348"/>
    <w:rsid w:val="0028083F"/>
    <w:rsid w:val="00282EC1"/>
    <w:rsid w:val="00292D05"/>
    <w:rsid w:val="0029329B"/>
    <w:rsid w:val="00294DC8"/>
    <w:rsid w:val="00295179"/>
    <w:rsid w:val="00296258"/>
    <w:rsid w:val="0029773E"/>
    <w:rsid w:val="002A4055"/>
    <w:rsid w:val="002A61E8"/>
    <w:rsid w:val="002A78AC"/>
    <w:rsid w:val="002B1714"/>
    <w:rsid w:val="002B1BC7"/>
    <w:rsid w:val="002B2BAA"/>
    <w:rsid w:val="002B688C"/>
    <w:rsid w:val="002B736D"/>
    <w:rsid w:val="002C0975"/>
    <w:rsid w:val="002C0AFE"/>
    <w:rsid w:val="002C0E87"/>
    <w:rsid w:val="002C3A3F"/>
    <w:rsid w:val="002C5BC4"/>
    <w:rsid w:val="002C7622"/>
    <w:rsid w:val="002D19D5"/>
    <w:rsid w:val="002D25F0"/>
    <w:rsid w:val="002D4B10"/>
    <w:rsid w:val="002D698A"/>
    <w:rsid w:val="002E20B2"/>
    <w:rsid w:val="002E224D"/>
    <w:rsid w:val="002E35EE"/>
    <w:rsid w:val="002E47CE"/>
    <w:rsid w:val="002E4820"/>
    <w:rsid w:val="002E4FA0"/>
    <w:rsid w:val="002E550E"/>
    <w:rsid w:val="002F2DF7"/>
    <w:rsid w:val="002F48F0"/>
    <w:rsid w:val="002F6B8F"/>
    <w:rsid w:val="002F7102"/>
    <w:rsid w:val="002F7CA6"/>
    <w:rsid w:val="003013D5"/>
    <w:rsid w:val="003021DC"/>
    <w:rsid w:val="003028D0"/>
    <w:rsid w:val="003042B5"/>
    <w:rsid w:val="003044E1"/>
    <w:rsid w:val="00304B09"/>
    <w:rsid w:val="00305B06"/>
    <w:rsid w:val="00305FAB"/>
    <w:rsid w:val="00310E4A"/>
    <w:rsid w:val="00311955"/>
    <w:rsid w:val="00313EF6"/>
    <w:rsid w:val="003143CB"/>
    <w:rsid w:val="00317C78"/>
    <w:rsid w:val="0032137C"/>
    <w:rsid w:val="00321394"/>
    <w:rsid w:val="003226C7"/>
    <w:rsid w:val="00322F5C"/>
    <w:rsid w:val="003230F3"/>
    <w:rsid w:val="00323814"/>
    <w:rsid w:val="00323E30"/>
    <w:rsid w:val="00323E96"/>
    <w:rsid w:val="00323F1B"/>
    <w:rsid w:val="00324F05"/>
    <w:rsid w:val="003253D5"/>
    <w:rsid w:val="003256F1"/>
    <w:rsid w:val="00331171"/>
    <w:rsid w:val="003315B9"/>
    <w:rsid w:val="003323DD"/>
    <w:rsid w:val="00332FB8"/>
    <w:rsid w:val="00333450"/>
    <w:rsid w:val="0033421A"/>
    <w:rsid w:val="00335554"/>
    <w:rsid w:val="00336118"/>
    <w:rsid w:val="003365A4"/>
    <w:rsid w:val="0034239F"/>
    <w:rsid w:val="00344B8A"/>
    <w:rsid w:val="00353A5C"/>
    <w:rsid w:val="00354ADC"/>
    <w:rsid w:val="00355041"/>
    <w:rsid w:val="003565FE"/>
    <w:rsid w:val="003567C7"/>
    <w:rsid w:val="0036118C"/>
    <w:rsid w:val="0036194C"/>
    <w:rsid w:val="00361F97"/>
    <w:rsid w:val="00362527"/>
    <w:rsid w:val="00363A3F"/>
    <w:rsid w:val="003648B2"/>
    <w:rsid w:val="00366503"/>
    <w:rsid w:val="00366FF7"/>
    <w:rsid w:val="00371ED1"/>
    <w:rsid w:val="00372782"/>
    <w:rsid w:val="00372972"/>
    <w:rsid w:val="00372D38"/>
    <w:rsid w:val="0037468E"/>
    <w:rsid w:val="0037589C"/>
    <w:rsid w:val="00376687"/>
    <w:rsid w:val="003769EB"/>
    <w:rsid w:val="00377A52"/>
    <w:rsid w:val="003808FC"/>
    <w:rsid w:val="00380CBA"/>
    <w:rsid w:val="00382BD1"/>
    <w:rsid w:val="00383001"/>
    <w:rsid w:val="0038432D"/>
    <w:rsid w:val="00384576"/>
    <w:rsid w:val="00386FAE"/>
    <w:rsid w:val="00387531"/>
    <w:rsid w:val="00387F36"/>
    <w:rsid w:val="00396F98"/>
    <w:rsid w:val="003A1980"/>
    <w:rsid w:val="003A2DE7"/>
    <w:rsid w:val="003A3319"/>
    <w:rsid w:val="003A5EAC"/>
    <w:rsid w:val="003A6ED7"/>
    <w:rsid w:val="003B4488"/>
    <w:rsid w:val="003B489C"/>
    <w:rsid w:val="003B522F"/>
    <w:rsid w:val="003B52EB"/>
    <w:rsid w:val="003B7FC8"/>
    <w:rsid w:val="003C14AA"/>
    <w:rsid w:val="003C1961"/>
    <w:rsid w:val="003C5682"/>
    <w:rsid w:val="003D12B0"/>
    <w:rsid w:val="003D16AF"/>
    <w:rsid w:val="003D1741"/>
    <w:rsid w:val="003D2F6D"/>
    <w:rsid w:val="003D35D0"/>
    <w:rsid w:val="003D3F09"/>
    <w:rsid w:val="003E2B8F"/>
    <w:rsid w:val="003E4A19"/>
    <w:rsid w:val="003E4CAE"/>
    <w:rsid w:val="003E5556"/>
    <w:rsid w:val="003E7DFA"/>
    <w:rsid w:val="003F28D2"/>
    <w:rsid w:val="003F2F4F"/>
    <w:rsid w:val="003F3DA0"/>
    <w:rsid w:val="003F421C"/>
    <w:rsid w:val="003F4D30"/>
    <w:rsid w:val="003F7895"/>
    <w:rsid w:val="003F7ADC"/>
    <w:rsid w:val="004007BB"/>
    <w:rsid w:val="00400BAB"/>
    <w:rsid w:val="00401293"/>
    <w:rsid w:val="00403ACF"/>
    <w:rsid w:val="004044FE"/>
    <w:rsid w:val="00407953"/>
    <w:rsid w:val="0041027C"/>
    <w:rsid w:val="0041187B"/>
    <w:rsid w:val="00412712"/>
    <w:rsid w:val="00412DEC"/>
    <w:rsid w:val="00414D92"/>
    <w:rsid w:val="00415190"/>
    <w:rsid w:val="0041527D"/>
    <w:rsid w:val="004154CA"/>
    <w:rsid w:val="0041552F"/>
    <w:rsid w:val="0042003F"/>
    <w:rsid w:val="00422C11"/>
    <w:rsid w:val="0042695E"/>
    <w:rsid w:val="00427ECE"/>
    <w:rsid w:val="004333F1"/>
    <w:rsid w:val="0043635C"/>
    <w:rsid w:val="00440B75"/>
    <w:rsid w:val="00441C58"/>
    <w:rsid w:val="0044202E"/>
    <w:rsid w:val="00442BDF"/>
    <w:rsid w:val="00443D50"/>
    <w:rsid w:val="00445267"/>
    <w:rsid w:val="00446ED0"/>
    <w:rsid w:val="00450D24"/>
    <w:rsid w:val="00452808"/>
    <w:rsid w:val="00453F0E"/>
    <w:rsid w:val="00456574"/>
    <w:rsid w:val="0045669D"/>
    <w:rsid w:val="00460D8A"/>
    <w:rsid w:val="00460E43"/>
    <w:rsid w:val="00461131"/>
    <w:rsid w:val="00461620"/>
    <w:rsid w:val="00461656"/>
    <w:rsid w:val="00465023"/>
    <w:rsid w:val="00465D03"/>
    <w:rsid w:val="00466EFB"/>
    <w:rsid w:val="00467018"/>
    <w:rsid w:val="00467C2C"/>
    <w:rsid w:val="0047019C"/>
    <w:rsid w:val="00470224"/>
    <w:rsid w:val="004718A8"/>
    <w:rsid w:val="004734A5"/>
    <w:rsid w:val="0047532F"/>
    <w:rsid w:val="00475A11"/>
    <w:rsid w:val="00480EB2"/>
    <w:rsid w:val="004825DB"/>
    <w:rsid w:val="00482D28"/>
    <w:rsid w:val="00483F1F"/>
    <w:rsid w:val="00487759"/>
    <w:rsid w:val="0048778D"/>
    <w:rsid w:val="004907C5"/>
    <w:rsid w:val="00496C78"/>
    <w:rsid w:val="004A0408"/>
    <w:rsid w:val="004A0CDA"/>
    <w:rsid w:val="004A2133"/>
    <w:rsid w:val="004A3D72"/>
    <w:rsid w:val="004A580A"/>
    <w:rsid w:val="004A6B61"/>
    <w:rsid w:val="004A7ECF"/>
    <w:rsid w:val="004A7ED6"/>
    <w:rsid w:val="004B0141"/>
    <w:rsid w:val="004B0822"/>
    <w:rsid w:val="004B0D45"/>
    <w:rsid w:val="004B1D02"/>
    <w:rsid w:val="004B5BF8"/>
    <w:rsid w:val="004B6741"/>
    <w:rsid w:val="004C1712"/>
    <w:rsid w:val="004C320C"/>
    <w:rsid w:val="004C393D"/>
    <w:rsid w:val="004C3D05"/>
    <w:rsid w:val="004C4508"/>
    <w:rsid w:val="004D04DE"/>
    <w:rsid w:val="004D22F9"/>
    <w:rsid w:val="004D270A"/>
    <w:rsid w:val="004D5F71"/>
    <w:rsid w:val="004E1011"/>
    <w:rsid w:val="004E3C66"/>
    <w:rsid w:val="004E5325"/>
    <w:rsid w:val="004E560A"/>
    <w:rsid w:val="004E5E59"/>
    <w:rsid w:val="004E64C1"/>
    <w:rsid w:val="004E7EDF"/>
    <w:rsid w:val="004F043E"/>
    <w:rsid w:val="005003CC"/>
    <w:rsid w:val="005004FE"/>
    <w:rsid w:val="005023BA"/>
    <w:rsid w:val="00502C4B"/>
    <w:rsid w:val="00502C60"/>
    <w:rsid w:val="00514F7B"/>
    <w:rsid w:val="00515191"/>
    <w:rsid w:val="00516B89"/>
    <w:rsid w:val="00516E5E"/>
    <w:rsid w:val="00520DDE"/>
    <w:rsid w:val="00523ADA"/>
    <w:rsid w:val="00523AF9"/>
    <w:rsid w:val="005240AF"/>
    <w:rsid w:val="005247B8"/>
    <w:rsid w:val="00525E7B"/>
    <w:rsid w:val="005307E0"/>
    <w:rsid w:val="00531F75"/>
    <w:rsid w:val="005347DF"/>
    <w:rsid w:val="00535A98"/>
    <w:rsid w:val="005360D6"/>
    <w:rsid w:val="0054055C"/>
    <w:rsid w:val="005424E7"/>
    <w:rsid w:val="005438FD"/>
    <w:rsid w:val="005463F5"/>
    <w:rsid w:val="00550A38"/>
    <w:rsid w:val="00551186"/>
    <w:rsid w:val="00552D85"/>
    <w:rsid w:val="005533D5"/>
    <w:rsid w:val="0055514F"/>
    <w:rsid w:val="00555663"/>
    <w:rsid w:val="00557450"/>
    <w:rsid w:val="00557CBD"/>
    <w:rsid w:val="0056097B"/>
    <w:rsid w:val="00560AC7"/>
    <w:rsid w:val="00562E6A"/>
    <w:rsid w:val="00564B25"/>
    <w:rsid w:val="00567391"/>
    <w:rsid w:val="005707BE"/>
    <w:rsid w:val="00571216"/>
    <w:rsid w:val="005831C7"/>
    <w:rsid w:val="005847EC"/>
    <w:rsid w:val="00586218"/>
    <w:rsid w:val="0058633F"/>
    <w:rsid w:val="00587195"/>
    <w:rsid w:val="0058728B"/>
    <w:rsid w:val="00590CEB"/>
    <w:rsid w:val="00591030"/>
    <w:rsid w:val="00591873"/>
    <w:rsid w:val="00594AA5"/>
    <w:rsid w:val="005956D7"/>
    <w:rsid w:val="00596379"/>
    <w:rsid w:val="005A47F4"/>
    <w:rsid w:val="005A68BE"/>
    <w:rsid w:val="005A7855"/>
    <w:rsid w:val="005B07ED"/>
    <w:rsid w:val="005B11AE"/>
    <w:rsid w:val="005B3D15"/>
    <w:rsid w:val="005B5437"/>
    <w:rsid w:val="005B743E"/>
    <w:rsid w:val="005C337F"/>
    <w:rsid w:val="005C37DF"/>
    <w:rsid w:val="005C3B39"/>
    <w:rsid w:val="005C5617"/>
    <w:rsid w:val="005D34F8"/>
    <w:rsid w:val="005D4331"/>
    <w:rsid w:val="005E1704"/>
    <w:rsid w:val="005E1849"/>
    <w:rsid w:val="005E254A"/>
    <w:rsid w:val="005E51B8"/>
    <w:rsid w:val="005E76D1"/>
    <w:rsid w:val="005E7D67"/>
    <w:rsid w:val="005F1ADA"/>
    <w:rsid w:val="005F1C65"/>
    <w:rsid w:val="005F1E1C"/>
    <w:rsid w:val="005F3FD2"/>
    <w:rsid w:val="005F49ED"/>
    <w:rsid w:val="005F4B5C"/>
    <w:rsid w:val="005F5EC6"/>
    <w:rsid w:val="005F6D80"/>
    <w:rsid w:val="0060181A"/>
    <w:rsid w:val="00601A10"/>
    <w:rsid w:val="00601D82"/>
    <w:rsid w:val="00602E2B"/>
    <w:rsid w:val="00605BCF"/>
    <w:rsid w:val="00611FE7"/>
    <w:rsid w:val="006122DA"/>
    <w:rsid w:val="00612682"/>
    <w:rsid w:val="0061787B"/>
    <w:rsid w:val="00622761"/>
    <w:rsid w:val="00622842"/>
    <w:rsid w:val="00623E78"/>
    <w:rsid w:val="00624A33"/>
    <w:rsid w:val="006252F1"/>
    <w:rsid w:val="006267E6"/>
    <w:rsid w:val="00627EFD"/>
    <w:rsid w:val="00630439"/>
    <w:rsid w:val="0063058E"/>
    <w:rsid w:val="00631F8F"/>
    <w:rsid w:val="00632874"/>
    <w:rsid w:val="00635F03"/>
    <w:rsid w:val="006372E8"/>
    <w:rsid w:val="0064038B"/>
    <w:rsid w:val="0064446D"/>
    <w:rsid w:val="00651AAF"/>
    <w:rsid w:val="0065273B"/>
    <w:rsid w:val="00653BAF"/>
    <w:rsid w:val="0066434E"/>
    <w:rsid w:val="00664BA2"/>
    <w:rsid w:val="006654D5"/>
    <w:rsid w:val="006676AC"/>
    <w:rsid w:val="0067175E"/>
    <w:rsid w:val="0067195A"/>
    <w:rsid w:val="0067621E"/>
    <w:rsid w:val="006775A8"/>
    <w:rsid w:val="00680B52"/>
    <w:rsid w:val="00686286"/>
    <w:rsid w:val="00686D6C"/>
    <w:rsid w:val="0069196D"/>
    <w:rsid w:val="00694520"/>
    <w:rsid w:val="0069465F"/>
    <w:rsid w:val="00694941"/>
    <w:rsid w:val="0069616C"/>
    <w:rsid w:val="006962D0"/>
    <w:rsid w:val="006A064B"/>
    <w:rsid w:val="006A143B"/>
    <w:rsid w:val="006A3177"/>
    <w:rsid w:val="006A33D0"/>
    <w:rsid w:val="006A33D8"/>
    <w:rsid w:val="006A526B"/>
    <w:rsid w:val="006A52D4"/>
    <w:rsid w:val="006A5C42"/>
    <w:rsid w:val="006A5FF8"/>
    <w:rsid w:val="006A63E1"/>
    <w:rsid w:val="006A768B"/>
    <w:rsid w:val="006A7BDB"/>
    <w:rsid w:val="006A7EE2"/>
    <w:rsid w:val="006B537D"/>
    <w:rsid w:val="006B5BDB"/>
    <w:rsid w:val="006B6B6E"/>
    <w:rsid w:val="006B7B8F"/>
    <w:rsid w:val="006C0F84"/>
    <w:rsid w:val="006C3958"/>
    <w:rsid w:val="006C3D78"/>
    <w:rsid w:val="006C4186"/>
    <w:rsid w:val="006C4A9D"/>
    <w:rsid w:val="006C4E02"/>
    <w:rsid w:val="006C616E"/>
    <w:rsid w:val="006C6D85"/>
    <w:rsid w:val="006D7151"/>
    <w:rsid w:val="006D751E"/>
    <w:rsid w:val="006E0426"/>
    <w:rsid w:val="006E0DA7"/>
    <w:rsid w:val="006E1121"/>
    <w:rsid w:val="006E2951"/>
    <w:rsid w:val="006E29CA"/>
    <w:rsid w:val="006E570E"/>
    <w:rsid w:val="006E7EF1"/>
    <w:rsid w:val="006F0444"/>
    <w:rsid w:val="006F3196"/>
    <w:rsid w:val="006F49F2"/>
    <w:rsid w:val="006F6D37"/>
    <w:rsid w:val="007018C9"/>
    <w:rsid w:val="00701B82"/>
    <w:rsid w:val="007028EA"/>
    <w:rsid w:val="007032A4"/>
    <w:rsid w:val="00705C5D"/>
    <w:rsid w:val="0071023C"/>
    <w:rsid w:val="00713C4C"/>
    <w:rsid w:val="00713D7B"/>
    <w:rsid w:val="00714342"/>
    <w:rsid w:val="0072156A"/>
    <w:rsid w:val="007221D0"/>
    <w:rsid w:val="0072256F"/>
    <w:rsid w:val="007241BA"/>
    <w:rsid w:val="00726B84"/>
    <w:rsid w:val="00731377"/>
    <w:rsid w:val="00731EF7"/>
    <w:rsid w:val="00732467"/>
    <w:rsid w:val="00737661"/>
    <w:rsid w:val="0074141B"/>
    <w:rsid w:val="00742642"/>
    <w:rsid w:val="00743678"/>
    <w:rsid w:val="007441F1"/>
    <w:rsid w:val="00744A63"/>
    <w:rsid w:val="0074572F"/>
    <w:rsid w:val="00745AF0"/>
    <w:rsid w:val="00747670"/>
    <w:rsid w:val="00747AE3"/>
    <w:rsid w:val="0075187C"/>
    <w:rsid w:val="00752CF2"/>
    <w:rsid w:val="00753381"/>
    <w:rsid w:val="007533A8"/>
    <w:rsid w:val="007539D4"/>
    <w:rsid w:val="0076076C"/>
    <w:rsid w:val="00761479"/>
    <w:rsid w:val="0076281B"/>
    <w:rsid w:val="007642D8"/>
    <w:rsid w:val="0076696A"/>
    <w:rsid w:val="00766F40"/>
    <w:rsid w:val="007723EF"/>
    <w:rsid w:val="00772D62"/>
    <w:rsid w:val="00782044"/>
    <w:rsid w:val="007820C1"/>
    <w:rsid w:val="00782670"/>
    <w:rsid w:val="0078560C"/>
    <w:rsid w:val="0078632B"/>
    <w:rsid w:val="00786BDB"/>
    <w:rsid w:val="00787735"/>
    <w:rsid w:val="00791735"/>
    <w:rsid w:val="00791879"/>
    <w:rsid w:val="00792499"/>
    <w:rsid w:val="00794704"/>
    <w:rsid w:val="00795AEA"/>
    <w:rsid w:val="00796991"/>
    <w:rsid w:val="007A4067"/>
    <w:rsid w:val="007A52A4"/>
    <w:rsid w:val="007A66CF"/>
    <w:rsid w:val="007B0AB9"/>
    <w:rsid w:val="007B23CF"/>
    <w:rsid w:val="007B3B6F"/>
    <w:rsid w:val="007B667A"/>
    <w:rsid w:val="007B667D"/>
    <w:rsid w:val="007C21A0"/>
    <w:rsid w:val="007C3283"/>
    <w:rsid w:val="007C4330"/>
    <w:rsid w:val="007C4A82"/>
    <w:rsid w:val="007C55E0"/>
    <w:rsid w:val="007C6270"/>
    <w:rsid w:val="007D3210"/>
    <w:rsid w:val="007D43B1"/>
    <w:rsid w:val="007D72CA"/>
    <w:rsid w:val="007D783B"/>
    <w:rsid w:val="007E34D1"/>
    <w:rsid w:val="007E34EE"/>
    <w:rsid w:val="007E46CC"/>
    <w:rsid w:val="007E7401"/>
    <w:rsid w:val="007F1DA4"/>
    <w:rsid w:val="007F1F69"/>
    <w:rsid w:val="007F305A"/>
    <w:rsid w:val="007F5D3C"/>
    <w:rsid w:val="00803404"/>
    <w:rsid w:val="00804DEC"/>
    <w:rsid w:val="00806CEC"/>
    <w:rsid w:val="00810592"/>
    <w:rsid w:val="00812577"/>
    <w:rsid w:val="00812E5B"/>
    <w:rsid w:val="0081551C"/>
    <w:rsid w:val="00817F92"/>
    <w:rsid w:val="0082127F"/>
    <w:rsid w:val="00823E3A"/>
    <w:rsid w:val="008245D6"/>
    <w:rsid w:val="00826170"/>
    <w:rsid w:val="00830680"/>
    <w:rsid w:val="00831BF6"/>
    <w:rsid w:val="0083218C"/>
    <w:rsid w:val="00834B1E"/>
    <w:rsid w:val="00834EC6"/>
    <w:rsid w:val="00840534"/>
    <w:rsid w:val="008415AE"/>
    <w:rsid w:val="00841C54"/>
    <w:rsid w:val="00842071"/>
    <w:rsid w:val="00842A09"/>
    <w:rsid w:val="00844CFA"/>
    <w:rsid w:val="008474F7"/>
    <w:rsid w:val="0085259B"/>
    <w:rsid w:val="008527F5"/>
    <w:rsid w:val="008533A9"/>
    <w:rsid w:val="00853969"/>
    <w:rsid w:val="00862BD3"/>
    <w:rsid w:val="0086636C"/>
    <w:rsid w:val="00867E0F"/>
    <w:rsid w:val="0087129A"/>
    <w:rsid w:val="00873FEB"/>
    <w:rsid w:val="00876076"/>
    <w:rsid w:val="008765CF"/>
    <w:rsid w:val="00876C7B"/>
    <w:rsid w:val="00876F83"/>
    <w:rsid w:val="00877D8C"/>
    <w:rsid w:val="00880F2D"/>
    <w:rsid w:val="00883E52"/>
    <w:rsid w:val="008840FB"/>
    <w:rsid w:val="00884237"/>
    <w:rsid w:val="008844F6"/>
    <w:rsid w:val="0088496B"/>
    <w:rsid w:val="00884A91"/>
    <w:rsid w:val="00885A9E"/>
    <w:rsid w:val="00892A81"/>
    <w:rsid w:val="00893698"/>
    <w:rsid w:val="008955D0"/>
    <w:rsid w:val="008A1B42"/>
    <w:rsid w:val="008A2606"/>
    <w:rsid w:val="008A3B38"/>
    <w:rsid w:val="008A44AE"/>
    <w:rsid w:val="008A527F"/>
    <w:rsid w:val="008A5C81"/>
    <w:rsid w:val="008B06ED"/>
    <w:rsid w:val="008B0746"/>
    <w:rsid w:val="008B1EF3"/>
    <w:rsid w:val="008B59F4"/>
    <w:rsid w:val="008B62AC"/>
    <w:rsid w:val="008B6AD5"/>
    <w:rsid w:val="008C0229"/>
    <w:rsid w:val="008C057B"/>
    <w:rsid w:val="008C0997"/>
    <w:rsid w:val="008C1855"/>
    <w:rsid w:val="008C2A2B"/>
    <w:rsid w:val="008C352A"/>
    <w:rsid w:val="008C39AA"/>
    <w:rsid w:val="008C3BBF"/>
    <w:rsid w:val="008C3C6A"/>
    <w:rsid w:val="008C5552"/>
    <w:rsid w:val="008D0D6A"/>
    <w:rsid w:val="008D22D4"/>
    <w:rsid w:val="008D24EF"/>
    <w:rsid w:val="008D282E"/>
    <w:rsid w:val="008D34AD"/>
    <w:rsid w:val="008D5EF5"/>
    <w:rsid w:val="008D61F9"/>
    <w:rsid w:val="008D6327"/>
    <w:rsid w:val="008D682C"/>
    <w:rsid w:val="008E0C3D"/>
    <w:rsid w:val="008E18F7"/>
    <w:rsid w:val="008E37C5"/>
    <w:rsid w:val="008E3BD0"/>
    <w:rsid w:val="008E3FA9"/>
    <w:rsid w:val="008E6293"/>
    <w:rsid w:val="008E7417"/>
    <w:rsid w:val="008E7D47"/>
    <w:rsid w:val="008F0DDB"/>
    <w:rsid w:val="008F1092"/>
    <w:rsid w:val="008F162E"/>
    <w:rsid w:val="008F1DEE"/>
    <w:rsid w:val="008F2DD8"/>
    <w:rsid w:val="008F363D"/>
    <w:rsid w:val="008F4215"/>
    <w:rsid w:val="008F4EA2"/>
    <w:rsid w:val="008F6B53"/>
    <w:rsid w:val="008F7F18"/>
    <w:rsid w:val="009004CC"/>
    <w:rsid w:val="00900E3F"/>
    <w:rsid w:val="00901D50"/>
    <w:rsid w:val="0090386E"/>
    <w:rsid w:val="009123C1"/>
    <w:rsid w:val="0091289E"/>
    <w:rsid w:val="00916584"/>
    <w:rsid w:val="0091683D"/>
    <w:rsid w:val="0091798C"/>
    <w:rsid w:val="0092150B"/>
    <w:rsid w:val="00921773"/>
    <w:rsid w:val="009232A3"/>
    <w:rsid w:val="009236D1"/>
    <w:rsid w:val="00926A23"/>
    <w:rsid w:val="009276DF"/>
    <w:rsid w:val="00933B6A"/>
    <w:rsid w:val="00934AA4"/>
    <w:rsid w:val="009401D8"/>
    <w:rsid w:val="00941A30"/>
    <w:rsid w:val="00941DF3"/>
    <w:rsid w:val="00946697"/>
    <w:rsid w:val="00953EE0"/>
    <w:rsid w:val="00954326"/>
    <w:rsid w:val="00962276"/>
    <w:rsid w:val="0096359A"/>
    <w:rsid w:val="00965481"/>
    <w:rsid w:val="00965AC8"/>
    <w:rsid w:val="00965BB6"/>
    <w:rsid w:val="009707D2"/>
    <w:rsid w:val="00970CE6"/>
    <w:rsid w:val="0097114B"/>
    <w:rsid w:val="00976FC1"/>
    <w:rsid w:val="00984305"/>
    <w:rsid w:val="00990242"/>
    <w:rsid w:val="00991833"/>
    <w:rsid w:val="00992C3D"/>
    <w:rsid w:val="00995F04"/>
    <w:rsid w:val="009A1678"/>
    <w:rsid w:val="009A1AED"/>
    <w:rsid w:val="009A3DA7"/>
    <w:rsid w:val="009A4C82"/>
    <w:rsid w:val="009A7E21"/>
    <w:rsid w:val="009B136A"/>
    <w:rsid w:val="009B15DD"/>
    <w:rsid w:val="009B163A"/>
    <w:rsid w:val="009B5740"/>
    <w:rsid w:val="009B57EF"/>
    <w:rsid w:val="009B5ED8"/>
    <w:rsid w:val="009B6C7A"/>
    <w:rsid w:val="009B73EB"/>
    <w:rsid w:val="009B7D7E"/>
    <w:rsid w:val="009C0EF2"/>
    <w:rsid w:val="009C21E4"/>
    <w:rsid w:val="009C438E"/>
    <w:rsid w:val="009C65BA"/>
    <w:rsid w:val="009D0295"/>
    <w:rsid w:val="009D129A"/>
    <w:rsid w:val="009D1B3C"/>
    <w:rsid w:val="009D282D"/>
    <w:rsid w:val="009D2929"/>
    <w:rsid w:val="009D57F5"/>
    <w:rsid w:val="009D626A"/>
    <w:rsid w:val="009D738F"/>
    <w:rsid w:val="009D7C33"/>
    <w:rsid w:val="009E014D"/>
    <w:rsid w:val="009E0C5D"/>
    <w:rsid w:val="009E1646"/>
    <w:rsid w:val="009E2124"/>
    <w:rsid w:val="009E460F"/>
    <w:rsid w:val="009E473D"/>
    <w:rsid w:val="009E58DC"/>
    <w:rsid w:val="009F1D0E"/>
    <w:rsid w:val="009F42E8"/>
    <w:rsid w:val="009F4682"/>
    <w:rsid w:val="009F5F9E"/>
    <w:rsid w:val="009F731D"/>
    <w:rsid w:val="00A02940"/>
    <w:rsid w:val="00A05614"/>
    <w:rsid w:val="00A06110"/>
    <w:rsid w:val="00A07A00"/>
    <w:rsid w:val="00A07BD0"/>
    <w:rsid w:val="00A1378D"/>
    <w:rsid w:val="00A13821"/>
    <w:rsid w:val="00A14F76"/>
    <w:rsid w:val="00A16FD7"/>
    <w:rsid w:val="00A17F20"/>
    <w:rsid w:val="00A21AAF"/>
    <w:rsid w:val="00A2269C"/>
    <w:rsid w:val="00A241F6"/>
    <w:rsid w:val="00A243E9"/>
    <w:rsid w:val="00A2511F"/>
    <w:rsid w:val="00A26B10"/>
    <w:rsid w:val="00A27524"/>
    <w:rsid w:val="00A34046"/>
    <w:rsid w:val="00A35B63"/>
    <w:rsid w:val="00A36D65"/>
    <w:rsid w:val="00A36DCB"/>
    <w:rsid w:val="00A4146E"/>
    <w:rsid w:val="00A47AA7"/>
    <w:rsid w:val="00A50F03"/>
    <w:rsid w:val="00A51034"/>
    <w:rsid w:val="00A5279E"/>
    <w:rsid w:val="00A528D1"/>
    <w:rsid w:val="00A5349C"/>
    <w:rsid w:val="00A536ED"/>
    <w:rsid w:val="00A53E4B"/>
    <w:rsid w:val="00A570AA"/>
    <w:rsid w:val="00A5738D"/>
    <w:rsid w:val="00A61C8B"/>
    <w:rsid w:val="00A639A3"/>
    <w:rsid w:val="00A67180"/>
    <w:rsid w:val="00A70DBA"/>
    <w:rsid w:val="00A7124F"/>
    <w:rsid w:val="00A7258D"/>
    <w:rsid w:val="00A73304"/>
    <w:rsid w:val="00A7359C"/>
    <w:rsid w:val="00A753B0"/>
    <w:rsid w:val="00A76762"/>
    <w:rsid w:val="00A80267"/>
    <w:rsid w:val="00A80E46"/>
    <w:rsid w:val="00A81A70"/>
    <w:rsid w:val="00A81D25"/>
    <w:rsid w:val="00A8231B"/>
    <w:rsid w:val="00A9034C"/>
    <w:rsid w:val="00A909F5"/>
    <w:rsid w:val="00A91A3A"/>
    <w:rsid w:val="00A92822"/>
    <w:rsid w:val="00A95F50"/>
    <w:rsid w:val="00A9707A"/>
    <w:rsid w:val="00A9711C"/>
    <w:rsid w:val="00AA02A9"/>
    <w:rsid w:val="00AA351F"/>
    <w:rsid w:val="00AB00DE"/>
    <w:rsid w:val="00AB100F"/>
    <w:rsid w:val="00AB3D55"/>
    <w:rsid w:val="00AB3D57"/>
    <w:rsid w:val="00AB45D7"/>
    <w:rsid w:val="00AB5F8B"/>
    <w:rsid w:val="00AB63E3"/>
    <w:rsid w:val="00AB6BA7"/>
    <w:rsid w:val="00AC05D4"/>
    <w:rsid w:val="00AC0742"/>
    <w:rsid w:val="00AC4F65"/>
    <w:rsid w:val="00AC55CE"/>
    <w:rsid w:val="00AD0DB9"/>
    <w:rsid w:val="00AD2E79"/>
    <w:rsid w:val="00AD47E0"/>
    <w:rsid w:val="00AD4F3C"/>
    <w:rsid w:val="00AD52CF"/>
    <w:rsid w:val="00AD6041"/>
    <w:rsid w:val="00AD648C"/>
    <w:rsid w:val="00AD7D3D"/>
    <w:rsid w:val="00AD7EFD"/>
    <w:rsid w:val="00AE1B39"/>
    <w:rsid w:val="00AE35ED"/>
    <w:rsid w:val="00AE3D39"/>
    <w:rsid w:val="00AE4291"/>
    <w:rsid w:val="00AE5831"/>
    <w:rsid w:val="00AF026D"/>
    <w:rsid w:val="00AF02F6"/>
    <w:rsid w:val="00AF13FC"/>
    <w:rsid w:val="00AF388D"/>
    <w:rsid w:val="00AF4482"/>
    <w:rsid w:val="00B015D3"/>
    <w:rsid w:val="00B03791"/>
    <w:rsid w:val="00B0582F"/>
    <w:rsid w:val="00B06FD1"/>
    <w:rsid w:val="00B0759E"/>
    <w:rsid w:val="00B1055E"/>
    <w:rsid w:val="00B14A7C"/>
    <w:rsid w:val="00B15054"/>
    <w:rsid w:val="00B20C3C"/>
    <w:rsid w:val="00B223AD"/>
    <w:rsid w:val="00B22FAC"/>
    <w:rsid w:val="00B23501"/>
    <w:rsid w:val="00B24054"/>
    <w:rsid w:val="00B243FE"/>
    <w:rsid w:val="00B31059"/>
    <w:rsid w:val="00B313DE"/>
    <w:rsid w:val="00B33C6B"/>
    <w:rsid w:val="00B44CA0"/>
    <w:rsid w:val="00B50955"/>
    <w:rsid w:val="00B51D16"/>
    <w:rsid w:val="00B53261"/>
    <w:rsid w:val="00B562C2"/>
    <w:rsid w:val="00B5634E"/>
    <w:rsid w:val="00B5715B"/>
    <w:rsid w:val="00B608AE"/>
    <w:rsid w:val="00B63F87"/>
    <w:rsid w:val="00B64405"/>
    <w:rsid w:val="00B65E20"/>
    <w:rsid w:val="00B7241F"/>
    <w:rsid w:val="00B72A2D"/>
    <w:rsid w:val="00B75ED7"/>
    <w:rsid w:val="00B77B6C"/>
    <w:rsid w:val="00B81F43"/>
    <w:rsid w:val="00B82BC0"/>
    <w:rsid w:val="00B82BEA"/>
    <w:rsid w:val="00B84C1E"/>
    <w:rsid w:val="00B84ED1"/>
    <w:rsid w:val="00B85A49"/>
    <w:rsid w:val="00B85FA2"/>
    <w:rsid w:val="00B86590"/>
    <w:rsid w:val="00B8675C"/>
    <w:rsid w:val="00B90D09"/>
    <w:rsid w:val="00B92C67"/>
    <w:rsid w:val="00B95A41"/>
    <w:rsid w:val="00B95F59"/>
    <w:rsid w:val="00B9665E"/>
    <w:rsid w:val="00BA030F"/>
    <w:rsid w:val="00BA2700"/>
    <w:rsid w:val="00BA3250"/>
    <w:rsid w:val="00BA33DB"/>
    <w:rsid w:val="00BA7270"/>
    <w:rsid w:val="00BB3322"/>
    <w:rsid w:val="00BB4F73"/>
    <w:rsid w:val="00BB5552"/>
    <w:rsid w:val="00BB6B68"/>
    <w:rsid w:val="00BB6C51"/>
    <w:rsid w:val="00BC1D24"/>
    <w:rsid w:val="00BC3D58"/>
    <w:rsid w:val="00BC4854"/>
    <w:rsid w:val="00BC5104"/>
    <w:rsid w:val="00BC51C7"/>
    <w:rsid w:val="00BC6A0A"/>
    <w:rsid w:val="00BD017B"/>
    <w:rsid w:val="00BD0D23"/>
    <w:rsid w:val="00BD3674"/>
    <w:rsid w:val="00BD6407"/>
    <w:rsid w:val="00BD7854"/>
    <w:rsid w:val="00BE0B41"/>
    <w:rsid w:val="00BE0F6E"/>
    <w:rsid w:val="00BE1B40"/>
    <w:rsid w:val="00BE1E1D"/>
    <w:rsid w:val="00BE2677"/>
    <w:rsid w:val="00BE27E2"/>
    <w:rsid w:val="00BE2862"/>
    <w:rsid w:val="00BE4BB9"/>
    <w:rsid w:val="00BF2603"/>
    <w:rsid w:val="00BF614E"/>
    <w:rsid w:val="00BF6257"/>
    <w:rsid w:val="00BF62A8"/>
    <w:rsid w:val="00BF71CB"/>
    <w:rsid w:val="00C01B93"/>
    <w:rsid w:val="00C03429"/>
    <w:rsid w:val="00C0378E"/>
    <w:rsid w:val="00C1256D"/>
    <w:rsid w:val="00C1289D"/>
    <w:rsid w:val="00C12B20"/>
    <w:rsid w:val="00C12F38"/>
    <w:rsid w:val="00C160D8"/>
    <w:rsid w:val="00C23BB6"/>
    <w:rsid w:val="00C2494D"/>
    <w:rsid w:val="00C26AA0"/>
    <w:rsid w:val="00C30610"/>
    <w:rsid w:val="00C31340"/>
    <w:rsid w:val="00C31881"/>
    <w:rsid w:val="00C34419"/>
    <w:rsid w:val="00C35698"/>
    <w:rsid w:val="00C375FB"/>
    <w:rsid w:val="00C37928"/>
    <w:rsid w:val="00C413B5"/>
    <w:rsid w:val="00C41E04"/>
    <w:rsid w:val="00C42D52"/>
    <w:rsid w:val="00C467E7"/>
    <w:rsid w:val="00C47B12"/>
    <w:rsid w:val="00C521B8"/>
    <w:rsid w:val="00C53C4C"/>
    <w:rsid w:val="00C53CDE"/>
    <w:rsid w:val="00C542DC"/>
    <w:rsid w:val="00C544C2"/>
    <w:rsid w:val="00C55247"/>
    <w:rsid w:val="00C56464"/>
    <w:rsid w:val="00C575C1"/>
    <w:rsid w:val="00C57D87"/>
    <w:rsid w:val="00C57F2E"/>
    <w:rsid w:val="00C619D0"/>
    <w:rsid w:val="00C61A49"/>
    <w:rsid w:val="00C62AC8"/>
    <w:rsid w:val="00C62D6E"/>
    <w:rsid w:val="00C63F85"/>
    <w:rsid w:val="00C70044"/>
    <w:rsid w:val="00C7471C"/>
    <w:rsid w:val="00C7680A"/>
    <w:rsid w:val="00C7763B"/>
    <w:rsid w:val="00C811BA"/>
    <w:rsid w:val="00C815BD"/>
    <w:rsid w:val="00C8321A"/>
    <w:rsid w:val="00C8565C"/>
    <w:rsid w:val="00C85E68"/>
    <w:rsid w:val="00C910CD"/>
    <w:rsid w:val="00C91FA7"/>
    <w:rsid w:val="00C95304"/>
    <w:rsid w:val="00C95B40"/>
    <w:rsid w:val="00C95F8A"/>
    <w:rsid w:val="00CA552B"/>
    <w:rsid w:val="00CA67B8"/>
    <w:rsid w:val="00CA69AB"/>
    <w:rsid w:val="00CA714B"/>
    <w:rsid w:val="00CA7DD7"/>
    <w:rsid w:val="00CB18AE"/>
    <w:rsid w:val="00CB315A"/>
    <w:rsid w:val="00CB3C9A"/>
    <w:rsid w:val="00CB6CC4"/>
    <w:rsid w:val="00CB78BD"/>
    <w:rsid w:val="00CC08E8"/>
    <w:rsid w:val="00CC40CE"/>
    <w:rsid w:val="00CC618A"/>
    <w:rsid w:val="00CD10B3"/>
    <w:rsid w:val="00CD1473"/>
    <w:rsid w:val="00CD4210"/>
    <w:rsid w:val="00CD603A"/>
    <w:rsid w:val="00CD6AB3"/>
    <w:rsid w:val="00CD6CD9"/>
    <w:rsid w:val="00CD70C1"/>
    <w:rsid w:val="00CE3A03"/>
    <w:rsid w:val="00CE4329"/>
    <w:rsid w:val="00CE62CE"/>
    <w:rsid w:val="00CE6C34"/>
    <w:rsid w:val="00CE6EA2"/>
    <w:rsid w:val="00CE758B"/>
    <w:rsid w:val="00CF09C3"/>
    <w:rsid w:val="00CF0ED8"/>
    <w:rsid w:val="00CF14BE"/>
    <w:rsid w:val="00CF1F89"/>
    <w:rsid w:val="00CF29A4"/>
    <w:rsid w:val="00CF2A89"/>
    <w:rsid w:val="00CF2D5E"/>
    <w:rsid w:val="00CF36B9"/>
    <w:rsid w:val="00CF5111"/>
    <w:rsid w:val="00D01EEE"/>
    <w:rsid w:val="00D03661"/>
    <w:rsid w:val="00D03E14"/>
    <w:rsid w:val="00D04912"/>
    <w:rsid w:val="00D05C5D"/>
    <w:rsid w:val="00D07A96"/>
    <w:rsid w:val="00D07C07"/>
    <w:rsid w:val="00D1431A"/>
    <w:rsid w:val="00D161E8"/>
    <w:rsid w:val="00D162CC"/>
    <w:rsid w:val="00D16675"/>
    <w:rsid w:val="00D203BE"/>
    <w:rsid w:val="00D210CB"/>
    <w:rsid w:val="00D22739"/>
    <w:rsid w:val="00D22C2E"/>
    <w:rsid w:val="00D22EE7"/>
    <w:rsid w:val="00D2368B"/>
    <w:rsid w:val="00D239C4"/>
    <w:rsid w:val="00D23FD9"/>
    <w:rsid w:val="00D254CD"/>
    <w:rsid w:val="00D31B47"/>
    <w:rsid w:val="00D31C47"/>
    <w:rsid w:val="00D338F5"/>
    <w:rsid w:val="00D3540C"/>
    <w:rsid w:val="00D44FE0"/>
    <w:rsid w:val="00D459B8"/>
    <w:rsid w:val="00D5050F"/>
    <w:rsid w:val="00D51E60"/>
    <w:rsid w:val="00D56890"/>
    <w:rsid w:val="00D603D6"/>
    <w:rsid w:val="00D60EB3"/>
    <w:rsid w:val="00D6203D"/>
    <w:rsid w:val="00D64D47"/>
    <w:rsid w:val="00D66F33"/>
    <w:rsid w:val="00D7154B"/>
    <w:rsid w:val="00D71574"/>
    <w:rsid w:val="00D734BE"/>
    <w:rsid w:val="00D7386B"/>
    <w:rsid w:val="00D766CD"/>
    <w:rsid w:val="00D7795B"/>
    <w:rsid w:val="00D77FEF"/>
    <w:rsid w:val="00D8483C"/>
    <w:rsid w:val="00D85142"/>
    <w:rsid w:val="00D85910"/>
    <w:rsid w:val="00D9191D"/>
    <w:rsid w:val="00D923D7"/>
    <w:rsid w:val="00D92429"/>
    <w:rsid w:val="00D9332F"/>
    <w:rsid w:val="00D96585"/>
    <w:rsid w:val="00D97AAF"/>
    <w:rsid w:val="00DA4273"/>
    <w:rsid w:val="00DA4B05"/>
    <w:rsid w:val="00DA4E66"/>
    <w:rsid w:val="00DA5023"/>
    <w:rsid w:val="00DB008A"/>
    <w:rsid w:val="00DB06D7"/>
    <w:rsid w:val="00DB438B"/>
    <w:rsid w:val="00DB6FDF"/>
    <w:rsid w:val="00DB70BA"/>
    <w:rsid w:val="00DB7691"/>
    <w:rsid w:val="00DC1AD0"/>
    <w:rsid w:val="00DC27AB"/>
    <w:rsid w:val="00DC3107"/>
    <w:rsid w:val="00DC3C33"/>
    <w:rsid w:val="00DC5BEB"/>
    <w:rsid w:val="00DC72F7"/>
    <w:rsid w:val="00DD09AF"/>
    <w:rsid w:val="00DD4047"/>
    <w:rsid w:val="00DD466B"/>
    <w:rsid w:val="00DD6C5B"/>
    <w:rsid w:val="00DD7B45"/>
    <w:rsid w:val="00DE07E2"/>
    <w:rsid w:val="00DE09A0"/>
    <w:rsid w:val="00DE16B8"/>
    <w:rsid w:val="00DE1A87"/>
    <w:rsid w:val="00DE1F37"/>
    <w:rsid w:val="00DE244D"/>
    <w:rsid w:val="00DE293B"/>
    <w:rsid w:val="00DE2D2C"/>
    <w:rsid w:val="00DE7864"/>
    <w:rsid w:val="00DE79F0"/>
    <w:rsid w:val="00DE7E1C"/>
    <w:rsid w:val="00DF7A54"/>
    <w:rsid w:val="00E0030A"/>
    <w:rsid w:val="00E0118D"/>
    <w:rsid w:val="00E01C3F"/>
    <w:rsid w:val="00E04864"/>
    <w:rsid w:val="00E05D30"/>
    <w:rsid w:val="00E060BC"/>
    <w:rsid w:val="00E078EF"/>
    <w:rsid w:val="00E10671"/>
    <w:rsid w:val="00E13449"/>
    <w:rsid w:val="00E13C9F"/>
    <w:rsid w:val="00E15177"/>
    <w:rsid w:val="00E152F4"/>
    <w:rsid w:val="00E16174"/>
    <w:rsid w:val="00E1634E"/>
    <w:rsid w:val="00E17F4C"/>
    <w:rsid w:val="00E20C9D"/>
    <w:rsid w:val="00E214BF"/>
    <w:rsid w:val="00E2257F"/>
    <w:rsid w:val="00E23C70"/>
    <w:rsid w:val="00E24FED"/>
    <w:rsid w:val="00E26906"/>
    <w:rsid w:val="00E32CF0"/>
    <w:rsid w:val="00E33386"/>
    <w:rsid w:val="00E35F6D"/>
    <w:rsid w:val="00E40103"/>
    <w:rsid w:val="00E4388B"/>
    <w:rsid w:val="00E51124"/>
    <w:rsid w:val="00E51356"/>
    <w:rsid w:val="00E51807"/>
    <w:rsid w:val="00E51F90"/>
    <w:rsid w:val="00E52B15"/>
    <w:rsid w:val="00E52D93"/>
    <w:rsid w:val="00E57DBE"/>
    <w:rsid w:val="00E62C40"/>
    <w:rsid w:val="00E6332C"/>
    <w:rsid w:val="00E635E0"/>
    <w:rsid w:val="00E63630"/>
    <w:rsid w:val="00E63D86"/>
    <w:rsid w:val="00E6415F"/>
    <w:rsid w:val="00E740F8"/>
    <w:rsid w:val="00E75791"/>
    <w:rsid w:val="00E82700"/>
    <w:rsid w:val="00E84B67"/>
    <w:rsid w:val="00E85426"/>
    <w:rsid w:val="00E87738"/>
    <w:rsid w:val="00E93823"/>
    <w:rsid w:val="00E95050"/>
    <w:rsid w:val="00E95252"/>
    <w:rsid w:val="00E9535D"/>
    <w:rsid w:val="00E971FF"/>
    <w:rsid w:val="00EA25DB"/>
    <w:rsid w:val="00EA2838"/>
    <w:rsid w:val="00EA40F5"/>
    <w:rsid w:val="00EA4319"/>
    <w:rsid w:val="00EA4425"/>
    <w:rsid w:val="00EA64F8"/>
    <w:rsid w:val="00EA6DE3"/>
    <w:rsid w:val="00EB3BA5"/>
    <w:rsid w:val="00EB3C5C"/>
    <w:rsid w:val="00EB4591"/>
    <w:rsid w:val="00EB4F3F"/>
    <w:rsid w:val="00EB5FFE"/>
    <w:rsid w:val="00EB6941"/>
    <w:rsid w:val="00EB6E5A"/>
    <w:rsid w:val="00EB74B1"/>
    <w:rsid w:val="00EB772E"/>
    <w:rsid w:val="00EC11EF"/>
    <w:rsid w:val="00EC638E"/>
    <w:rsid w:val="00EC6F1B"/>
    <w:rsid w:val="00EC77AE"/>
    <w:rsid w:val="00ED088A"/>
    <w:rsid w:val="00ED0CC0"/>
    <w:rsid w:val="00ED19F4"/>
    <w:rsid w:val="00ED392B"/>
    <w:rsid w:val="00ED3C67"/>
    <w:rsid w:val="00ED460F"/>
    <w:rsid w:val="00ED53C1"/>
    <w:rsid w:val="00EE1AAE"/>
    <w:rsid w:val="00EE288B"/>
    <w:rsid w:val="00EE3DF9"/>
    <w:rsid w:val="00EE4EDB"/>
    <w:rsid w:val="00EE7C5F"/>
    <w:rsid w:val="00EF0F3F"/>
    <w:rsid w:val="00EF3957"/>
    <w:rsid w:val="00F00E24"/>
    <w:rsid w:val="00F0113A"/>
    <w:rsid w:val="00F018EA"/>
    <w:rsid w:val="00F021A7"/>
    <w:rsid w:val="00F02380"/>
    <w:rsid w:val="00F02D5C"/>
    <w:rsid w:val="00F02DA0"/>
    <w:rsid w:val="00F02FE9"/>
    <w:rsid w:val="00F0419A"/>
    <w:rsid w:val="00F05177"/>
    <w:rsid w:val="00F0544E"/>
    <w:rsid w:val="00F12B83"/>
    <w:rsid w:val="00F13269"/>
    <w:rsid w:val="00F14224"/>
    <w:rsid w:val="00F153F2"/>
    <w:rsid w:val="00F16EB2"/>
    <w:rsid w:val="00F2003A"/>
    <w:rsid w:val="00F2050B"/>
    <w:rsid w:val="00F21FD3"/>
    <w:rsid w:val="00F23829"/>
    <w:rsid w:val="00F25089"/>
    <w:rsid w:val="00F300BD"/>
    <w:rsid w:val="00F30598"/>
    <w:rsid w:val="00F305B5"/>
    <w:rsid w:val="00F33864"/>
    <w:rsid w:val="00F36F63"/>
    <w:rsid w:val="00F3768F"/>
    <w:rsid w:val="00F37C85"/>
    <w:rsid w:val="00F445C0"/>
    <w:rsid w:val="00F449A4"/>
    <w:rsid w:val="00F4501A"/>
    <w:rsid w:val="00F46585"/>
    <w:rsid w:val="00F46F50"/>
    <w:rsid w:val="00F51295"/>
    <w:rsid w:val="00F51F24"/>
    <w:rsid w:val="00F51FB3"/>
    <w:rsid w:val="00F642B1"/>
    <w:rsid w:val="00F64647"/>
    <w:rsid w:val="00F65C38"/>
    <w:rsid w:val="00F65CC4"/>
    <w:rsid w:val="00F663E1"/>
    <w:rsid w:val="00F71D51"/>
    <w:rsid w:val="00F74B77"/>
    <w:rsid w:val="00F75EAF"/>
    <w:rsid w:val="00F76164"/>
    <w:rsid w:val="00F80C97"/>
    <w:rsid w:val="00F80E0C"/>
    <w:rsid w:val="00F81376"/>
    <w:rsid w:val="00F83EBC"/>
    <w:rsid w:val="00F840D1"/>
    <w:rsid w:val="00F84528"/>
    <w:rsid w:val="00F85212"/>
    <w:rsid w:val="00F86266"/>
    <w:rsid w:val="00F900F3"/>
    <w:rsid w:val="00F9208E"/>
    <w:rsid w:val="00F92B0F"/>
    <w:rsid w:val="00F93027"/>
    <w:rsid w:val="00F95D25"/>
    <w:rsid w:val="00F97E74"/>
    <w:rsid w:val="00FA0B7F"/>
    <w:rsid w:val="00FA180C"/>
    <w:rsid w:val="00FA1A9B"/>
    <w:rsid w:val="00FA1D1E"/>
    <w:rsid w:val="00FA7378"/>
    <w:rsid w:val="00FB1C97"/>
    <w:rsid w:val="00FB1E5F"/>
    <w:rsid w:val="00FB2577"/>
    <w:rsid w:val="00FB2D51"/>
    <w:rsid w:val="00FB6909"/>
    <w:rsid w:val="00FB6913"/>
    <w:rsid w:val="00FB7FBF"/>
    <w:rsid w:val="00FC0B98"/>
    <w:rsid w:val="00FC1EB6"/>
    <w:rsid w:val="00FC2A68"/>
    <w:rsid w:val="00FC37DC"/>
    <w:rsid w:val="00FC4039"/>
    <w:rsid w:val="00FC485B"/>
    <w:rsid w:val="00FC5904"/>
    <w:rsid w:val="00FC6C68"/>
    <w:rsid w:val="00FC7425"/>
    <w:rsid w:val="00FC7459"/>
    <w:rsid w:val="00FD1CA5"/>
    <w:rsid w:val="00FD6049"/>
    <w:rsid w:val="00FD7445"/>
    <w:rsid w:val="00FD7929"/>
    <w:rsid w:val="00FE3668"/>
    <w:rsid w:val="00FE4508"/>
    <w:rsid w:val="00FE5889"/>
    <w:rsid w:val="00FE69F0"/>
    <w:rsid w:val="00FE78FD"/>
    <w:rsid w:val="00FF059C"/>
    <w:rsid w:val="00FF1758"/>
    <w:rsid w:val="00FF1BB0"/>
    <w:rsid w:val="00FF23C0"/>
    <w:rsid w:val="00FF3185"/>
    <w:rsid w:val="00FF4DBE"/>
    <w:rsid w:val="00FF5046"/>
    <w:rsid w:val="00FF67C0"/>
    <w:rsid w:val="00FF7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4"/>
        <w:szCs w:val="24"/>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1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E4874"/>
    <w:rPr>
      <w:color w:val="0000FF"/>
      <w:u w:val="single"/>
    </w:rPr>
  </w:style>
  <w:style w:type="paragraph" w:styleId="a4">
    <w:name w:val="header"/>
    <w:basedOn w:val="a"/>
    <w:link w:val="a5"/>
    <w:uiPriority w:val="99"/>
    <w:unhideWhenUsed/>
    <w:rsid w:val="00372782"/>
    <w:pPr>
      <w:tabs>
        <w:tab w:val="center" w:pos="4153"/>
        <w:tab w:val="right" w:pos="8306"/>
      </w:tabs>
      <w:spacing w:after="0" w:line="240" w:lineRule="auto"/>
    </w:pPr>
  </w:style>
  <w:style w:type="character" w:customStyle="1" w:styleId="a5">
    <w:name w:val="כותרת עליונה תו"/>
    <w:basedOn w:val="a0"/>
    <w:link w:val="a4"/>
    <w:uiPriority w:val="99"/>
    <w:rsid w:val="00372782"/>
  </w:style>
  <w:style w:type="paragraph" w:styleId="a6">
    <w:name w:val="footer"/>
    <w:basedOn w:val="a"/>
    <w:link w:val="a7"/>
    <w:uiPriority w:val="99"/>
    <w:unhideWhenUsed/>
    <w:rsid w:val="00372782"/>
    <w:pPr>
      <w:tabs>
        <w:tab w:val="center" w:pos="4153"/>
        <w:tab w:val="right" w:pos="8306"/>
      </w:tabs>
      <w:spacing w:after="0" w:line="240" w:lineRule="auto"/>
    </w:pPr>
  </w:style>
  <w:style w:type="character" w:customStyle="1" w:styleId="a7">
    <w:name w:val="כותרת תחתונה תו"/>
    <w:basedOn w:val="a0"/>
    <w:link w:val="a6"/>
    <w:uiPriority w:val="99"/>
    <w:rsid w:val="00372782"/>
  </w:style>
  <w:style w:type="paragraph" w:styleId="a8">
    <w:name w:val="Balloon Text"/>
    <w:basedOn w:val="a"/>
    <w:link w:val="a9"/>
    <w:uiPriority w:val="99"/>
    <w:semiHidden/>
    <w:unhideWhenUsed/>
    <w:rsid w:val="006C0F8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C0F84"/>
    <w:rPr>
      <w:rFonts w:ascii="Tahoma" w:hAnsi="Tahoma" w:cs="Tahoma"/>
      <w:sz w:val="16"/>
      <w:szCs w:val="16"/>
    </w:rPr>
  </w:style>
  <w:style w:type="paragraph" w:styleId="aa">
    <w:name w:val="Revision"/>
    <w:hidden/>
    <w:uiPriority w:val="99"/>
    <w:semiHidden/>
    <w:rsid w:val="008C5552"/>
    <w:pPr>
      <w:spacing w:after="0" w:line="240" w:lineRule="auto"/>
    </w:pPr>
  </w:style>
  <w:style w:type="character" w:customStyle="1" w:styleId="10">
    <w:name w:val="כותרת 1 תו"/>
    <w:basedOn w:val="a0"/>
    <w:link w:val="1"/>
    <w:uiPriority w:val="9"/>
    <w:rsid w:val="008F1092"/>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F1092"/>
    <w:pPr>
      <w:bidi/>
      <w:spacing w:line="276" w:lineRule="auto"/>
      <w:outlineLvl w:val="9"/>
    </w:pPr>
    <w:rPr>
      <w:rtl/>
      <w: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4"/>
        <w:szCs w:val="24"/>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1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E4874"/>
    <w:rPr>
      <w:color w:val="0000FF"/>
      <w:u w:val="single"/>
    </w:rPr>
  </w:style>
  <w:style w:type="paragraph" w:styleId="a4">
    <w:name w:val="header"/>
    <w:basedOn w:val="a"/>
    <w:link w:val="a5"/>
    <w:uiPriority w:val="99"/>
    <w:unhideWhenUsed/>
    <w:rsid w:val="00372782"/>
    <w:pPr>
      <w:tabs>
        <w:tab w:val="center" w:pos="4153"/>
        <w:tab w:val="right" w:pos="8306"/>
      </w:tabs>
      <w:spacing w:after="0" w:line="240" w:lineRule="auto"/>
    </w:pPr>
  </w:style>
  <w:style w:type="character" w:customStyle="1" w:styleId="a5">
    <w:name w:val="כותרת עליונה תו"/>
    <w:basedOn w:val="a0"/>
    <w:link w:val="a4"/>
    <w:uiPriority w:val="99"/>
    <w:rsid w:val="00372782"/>
  </w:style>
  <w:style w:type="paragraph" w:styleId="a6">
    <w:name w:val="footer"/>
    <w:basedOn w:val="a"/>
    <w:link w:val="a7"/>
    <w:uiPriority w:val="99"/>
    <w:unhideWhenUsed/>
    <w:rsid w:val="00372782"/>
    <w:pPr>
      <w:tabs>
        <w:tab w:val="center" w:pos="4153"/>
        <w:tab w:val="right" w:pos="8306"/>
      </w:tabs>
      <w:spacing w:after="0" w:line="240" w:lineRule="auto"/>
    </w:pPr>
  </w:style>
  <w:style w:type="character" w:customStyle="1" w:styleId="a7">
    <w:name w:val="כותרת תחתונה תו"/>
    <w:basedOn w:val="a0"/>
    <w:link w:val="a6"/>
    <w:uiPriority w:val="99"/>
    <w:rsid w:val="00372782"/>
  </w:style>
  <w:style w:type="paragraph" w:styleId="a8">
    <w:name w:val="Balloon Text"/>
    <w:basedOn w:val="a"/>
    <w:link w:val="a9"/>
    <w:uiPriority w:val="99"/>
    <w:semiHidden/>
    <w:unhideWhenUsed/>
    <w:rsid w:val="006C0F8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C0F84"/>
    <w:rPr>
      <w:rFonts w:ascii="Tahoma" w:hAnsi="Tahoma" w:cs="Tahoma"/>
      <w:sz w:val="16"/>
      <w:szCs w:val="16"/>
    </w:rPr>
  </w:style>
  <w:style w:type="paragraph" w:styleId="aa">
    <w:name w:val="Revision"/>
    <w:hidden/>
    <w:uiPriority w:val="99"/>
    <w:semiHidden/>
    <w:rsid w:val="008C5552"/>
    <w:pPr>
      <w:spacing w:after="0" w:line="240" w:lineRule="auto"/>
    </w:pPr>
  </w:style>
  <w:style w:type="character" w:customStyle="1" w:styleId="10">
    <w:name w:val="כותרת 1 תו"/>
    <w:basedOn w:val="a0"/>
    <w:link w:val="1"/>
    <w:uiPriority w:val="9"/>
    <w:rsid w:val="008F1092"/>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F1092"/>
    <w:pPr>
      <w:bidi/>
      <w:spacing w:line="276" w:lineRule="auto"/>
      <w:outlineLvl w:val="9"/>
    </w:pPr>
    <w:rPr>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86">
      <w:bodyDiv w:val="1"/>
      <w:marLeft w:val="0"/>
      <w:marRight w:val="0"/>
      <w:marTop w:val="0"/>
      <w:marBottom w:val="0"/>
      <w:divBdr>
        <w:top w:val="none" w:sz="0" w:space="0" w:color="auto"/>
        <w:left w:val="none" w:sz="0" w:space="0" w:color="auto"/>
        <w:bottom w:val="none" w:sz="0" w:space="0" w:color="auto"/>
        <w:right w:val="none" w:sz="0" w:space="0" w:color="auto"/>
      </w:divBdr>
    </w:div>
    <w:div w:id="55276751">
      <w:bodyDiv w:val="1"/>
      <w:marLeft w:val="0"/>
      <w:marRight w:val="0"/>
      <w:marTop w:val="0"/>
      <w:marBottom w:val="0"/>
      <w:divBdr>
        <w:top w:val="none" w:sz="0" w:space="0" w:color="auto"/>
        <w:left w:val="none" w:sz="0" w:space="0" w:color="auto"/>
        <w:bottom w:val="none" w:sz="0" w:space="0" w:color="auto"/>
        <w:right w:val="none" w:sz="0" w:space="0" w:color="auto"/>
      </w:divBdr>
    </w:div>
    <w:div w:id="123155719">
      <w:bodyDiv w:val="1"/>
      <w:marLeft w:val="0"/>
      <w:marRight w:val="0"/>
      <w:marTop w:val="0"/>
      <w:marBottom w:val="0"/>
      <w:divBdr>
        <w:top w:val="none" w:sz="0" w:space="0" w:color="auto"/>
        <w:left w:val="none" w:sz="0" w:space="0" w:color="auto"/>
        <w:bottom w:val="none" w:sz="0" w:space="0" w:color="auto"/>
        <w:right w:val="none" w:sz="0" w:space="0" w:color="auto"/>
      </w:divBdr>
    </w:div>
    <w:div w:id="138423841">
      <w:bodyDiv w:val="1"/>
      <w:marLeft w:val="0"/>
      <w:marRight w:val="0"/>
      <w:marTop w:val="0"/>
      <w:marBottom w:val="0"/>
      <w:divBdr>
        <w:top w:val="none" w:sz="0" w:space="0" w:color="auto"/>
        <w:left w:val="none" w:sz="0" w:space="0" w:color="auto"/>
        <w:bottom w:val="none" w:sz="0" w:space="0" w:color="auto"/>
        <w:right w:val="none" w:sz="0" w:space="0" w:color="auto"/>
      </w:divBdr>
    </w:div>
    <w:div w:id="162405309">
      <w:bodyDiv w:val="1"/>
      <w:marLeft w:val="0"/>
      <w:marRight w:val="0"/>
      <w:marTop w:val="0"/>
      <w:marBottom w:val="0"/>
      <w:divBdr>
        <w:top w:val="none" w:sz="0" w:space="0" w:color="auto"/>
        <w:left w:val="none" w:sz="0" w:space="0" w:color="auto"/>
        <w:bottom w:val="none" w:sz="0" w:space="0" w:color="auto"/>
        <w:right w:val="none" w:sz="0" w:space="0" w:color="auto"/>
      </w:divBdr>
    </w:div>
    <w:div w:id="332607303">
      <w:bodyDiv w:val="1"/>
      <w:marLeft w:val="0"/>
      <w:marRight w:val="0"/>
      <w:marTop w:val="0"/>
      <w:marBottom w:val="0"/>
      <w:divBdr>
        <w:top w:val="none" w:sz="0" w:space="0" w:color="auto"/>
        <w:left w:val="none" w:sz="0" w:space="0" w:color="auto"/>
        <w:bottom w:val="none" w:sz="0" w:space="0" w:color="auto"/>
        <w:right w:val="none" w:sz="0" w:space="0" w:color="auto"/>
      </w:divBdr>
    </w:div>
    <w:div w:id="355086739">
      <w:bodyDiv w:val="1"/>
      <w:marLeft w:val="0"/>
      <w:marRight w:val="0"/>
      <w:marTop w:val="0"/>
      <w:marBottom w:val="0"/>
      <w:divBdr>
        <w:top w:val="none" w:sz="0" w:space="0" w:color="auto"/>
        <w:left w:val="none" w:sz="0" w:space="0" w:color="auto"/>
        <w:bottom w:val="none" w:sz="0" w:space="0" w:color="auto"/>
        <w:right w:val="none" w:sz="0" w:space="0" w:color="auto"/>
      </w:divBdr>
    </w:div>
    <w:div w:id="429858867">
      <w:bodyDiv w:val="1"/>
      <w:marLeft w:val="0"/>
      <w:marRight w:val="0"/>
      <w:marTop w:val="0"/>
      <w:marBottom w:val="0"/>
      <w:divBdr>
        <w:top w:val="none" w:sz="0" w:space="0" w:color="auto"/>
        <w:left w:val="none" w:sz="0" w:space="0" w:color="auto"/>
        <w:bottom w:val="none" w:sz="0" w:space="0" w:color="auto"/>
        <w:right w:val="none" w:sz="0" w:space="0" w:color="auto"/>
      </w:divBdr>
    </w:div>
    <w:div w:id="483395469">
      <w:bodyDiv w:val="1"/>
      <w:marLeft w:val="0"/>
      <w:marRight w:val="0"/>
      <w:marTop w:val="0"/>
      <w:marBottom w:val="0"/>
      <w:divBdr>
        <w:top w:val="none" w:sz="0" w:space="0" w:color="auto"/>
        <w:left w:val="none" w:sz="0" w:space="0" w:color="auto"/>
        <w:bottom w:val="none" w:sz="0" w:space="0" w:color="auto"/>
        <w:right w:val="none" w:sz="0" w:space="0" w:color="auto"/>
      </w:divBdr>
    </w:div>
    <w:div w:id="488983554">
      <w:bodyDiv w:val="1"/>
      <w:marLeft w:val="0"/>
      <w:marRight w:val="0"/>
      <w:marTop w:val="0"/>
      <w:marBottom w:val="0"/>
      <w:divBdr>
        <w:top w:val="none" w:sz="0" w:space="0" w:color="auto"/>
        <w:left w:val="none" w:sz="0" w:space="0" w:color="auto"/>
        <w:bottom w:val="none" w:sz="0" w:space="0" w:color="auto"/>
        <w:right w:val="none" w:sz="0" w:space="0" w:color="auto"/>
      </w:divBdr>
    </w:div>
    <w:div w:id="542060222">
      <w:bodyDiv w:val="1"/>
      <w:marLeft w:val="0"/>
      <w:marRight w:val="0"/>
      <w:marTop w:val="0"/>
      <w:marBottom w:val="0"/>
      <w:divBdr>
        <w:top w:val="none" w:sz="0" w:space="0" w:color="auto"/>
        <w:left w:val="none" w:sz="0" w:space="0" w:color="auto"/>
        <w:bottom w:val="none" w:sz="0" w:space="0" w:color="auto"/>
        <w:right w:val="none" w:sz="0" w:space="0" w:color="auto"/>
      </w:divBdr>
    </w:div>
    <w:div w:id="584654894">
      <w:bodyDiv w:val="1"/>
      <w:marLeft w:val="0"/>
      <w:marRight w:val="0"/>
      <w:marTop w:val="0"/>
      <w:marBottom w:val="0"/>
      <w:divBdr>
        <w:top w:val="none" w:sz="0" w:space="0" w:color="auto"/>
        <w:left w:val="none" w:sz="0" w:space="0" w:color="auto"/>
        <w:bottom w:val="none" w:sz="0" w:space="0" w:color="auto"/>
        <w:right w:val="none" w:sz="0" w:space="0" w:color="auto"/>
      </w:divBdr>
    </w:div>
    <w:div w:id="589313726">
      <w:bodyDiv w:val="1"/>
      <w:marLeft w:val="0"/>
      <w:marRight w:val="0"/>
      <w:marTop w:val="0"/>
      <w:marBottom w:val="0"/>
      <w:divBdr>
        <w:top w:val="none" w:sz="0" w:space="0" w:color="auto"/>
        <w:left w:val="none" w:sz="0" w:space="0" w:color="auto"/>
        <w:bottom w:val="none" w:sz="0" w:space="0" w:color="auto"/>
        <w:right w:val="none" w:sz="0" w:space="0" w:color="auto"/>
      </w:divBdr>
    </w:div>
    <w:div w:id="592930438">
      <w:bodyDiv w:val="1"/>
      <w:marLeft w:val="0"/>
      <w:marRight w:val="0"/>
      <w:marTop w:val="0"/>
      <w:marBottom w:val="0"/>
      <w:divBdr>
        <w:top w:val="none" w:sz="0" w:space="0" w:color="auto"/>
        <w:left w:val="none" w:sz="0" w:space="0" w:color="auto"/>
        <w:bottom w:val="none" w:sz="0" w:space="0" w:color="auto"/>
        <w:right w:val="none" w:sz="0" w:space="0" w:color="auto"/>
      </w:divBdr>
    </w:div>
    <w:div w:id="615259794">
      <w:bodyDiv w:val="1"/>
      <w:marLeft w:val="0"/>
      <w:marRight w:val="0"/>
      <w:marTop w:val="0"/>
      <w:marBottom w:val="0"/>
      <w:divBdr>
        <w:top w:val="none" w:sz="0" w:space="0" w:color="auto"/>
        <w:left w:val="none" w:sz="0" w:space="0" w:color="auto"/>
        <w:bottom w:val="none" w:sz="0" w:space="0" w:color="auto"/>
        <w:right w:val="none" w:sz="0" w:space="0" w:color="auto"/>
      </w:divBdr>
    </w:div>
    <w:div w:id="623459667">
      <w:bodyDiv w:val="1"/>
      <w:marLeft w:val="0"/>
      <w:marRight w:val="0"/>
      <w:marTop w:val="0"/>
      <w:marBottom w:val="0"/>
      <w:divBdr>
        <w:top w:val="none" w:sz="0" w:space="0" w:color="auto"/>
        <w:left w:val="none" w:sz="0" w:space="0" w:color="auto"/>
        <w:bottom w:val="none" w:sz="0" w:space="0" w:color="auto"/>
        <w:right w:val="none" w:sz="0" w:space="0" w:color="auto"/>
      </w:divBdr>
    </w:div>
    <w:div w:id="636490848">
      <w:bodyDiv w:val="1"/>
      <w:marLeft w:val="0"/>
      <w:marRight w:val="0"/>
      <w:marTop w:val="0"/>
      <w:marBottom w:val="0"/>
      <w:divBdr>
        <w:top w:val="none" w:sz="0" w:space="0" w:color="auto"/>
        <w:left w:val="none" w:sz="0" w:space="0" w:color="auto"/>
        <w:bottom w:val="none" w:sz="0" w:space="0" w:color="auto"/>
        <w:right w:val="none" w:sz="0" w:space="0" w:color="auto"/>
      </w:divBdr>
    </w:div>
    <w:div w:id="640037270">
      <w:bodyDiv w:val="1"/>
      <w:marLeft w:val="0"/>
      <w:marRight w:val="0"/>
      <w:marTop w:val="0"/>
      <w:marBottom w:val="0"/>
      <w:divBdr>
        <w:top w:val="none" w:sz="0" w:space="0" w:color="auto"/>
        <w:left w:val="none" w:sz="0" w:space="0" w:color="auto"/>
        <w:bottom w:val="none" w:sz="0" w:space="0" w:color="auto"/>
        <w:right w:val="none" w:sz="0" w:space="0" w:color="auto"/>
      </w:divBdr>
    </w:div>
    <w:div w:id="652876401">
      <w:bodyDiv w:val="1"/>
      <w:marLeft w:val="0"/>
      <w:marRight w:val="0"/>
      <w:marTop w:val="0"/>
      <w:marBottom w:val="0"/>
      <w:divBdr>
        <w:top w:val="none" w:sz="0" w:space="0" w:color="auto"/>
        <w:left w:val="none" w:sz="0" w:space="0" w:color="auto"/>
        <w:bottom w:val="none" w:sz="0" w:space="0" w:color="auto"/>
        <w:right w:val="none" w:sz="0" w:space="0" w:color="auto"/>
      </w:divBdr>
    </w:div>
    <w:div w:id="673267138">
      <w:bodyDiv w:val="1"/>
      <w:marLeft w:val="0"/>
      <w:marRight w:val="0"/>
      <w:marTop w:val="0"/>
      <w:marBottom w:val="0"/>
      <w:divBdr>
        <w:top w:val="none" w:sz="0" w:space="0" w:color="auto"/>
        <w:left w:val="none" w:sz="0" w:space="0" w:color="auto"/>
        <w:bottom w:val="none" w:sz="0" w:space="0" w:color="auto"/>
        <w:right w:val="none" w:sz="0" w:space="0" w:color="auto"/>
      </w:divBdr>
    </w:div>
    <w:div w:id="693073942">
      <w:bodyDiv w:val="1"/>
      <w:marLeft w:val="0"/>
      <w:marRight w:val="0"/>
      <w:marTop w:val="0"/>
      <w:marBottom w:val="0"/>
      <w:divBdr>
        <w:top w:val="none" w:sz="0" w:space="0" w:color="auto"/>
        <w:left w:val="none" w:sz="0" w:space="0" w:color="auto"/>
        <w:bottom w:val="none" w:sz="0" w:space="0" w:color="auto"/>
        <w:right w:val="none" w:sz="0" w:space="0" w:color="auto"/>
      </w:divBdr>
    </w:div>
    <w:div w:id="718936277">
      <w:bodyDiv w:val="1"/>
      <w:marLeft w:val="0"/>
      <w:marRight w:val="0"/>
      <w:marTop w:val="0"/>
      <w:marBottom w:val="0"/>
      <w:divBdr>
        <w:top w:val="none" w:sz="0" w:space="0" w:color="auto"/>
        <w:left w:val="none" w:sz="0" w:space="0" w:color="auto"/>
        <w:bottom w:val="none" w:sz="0" w:space="0" w:color="auto"/>
        <w:right w:val="none" w:sz="0" w:space="0" w:color="auto"/>
      </w:divBdr>
    </w:div>
    <w:div w:id="737023950">
      <w:bodyDiv w:val="1"/>
      <w:marLeft w:val="0"/>
      <w:marRight w:val="0"/>
      <w:marTop w:val="0"/>
      <w:marBottom w:val="0"/>
      <w:divBdr>
        <w:top w:val="none" w:sz="0" w:space="0" w:color="auto"/>
        <w:left w:val="none" w:sz="0" w:space="0" w:color="auto"/>
        <w:bottom w:val="none" w:sz="0" w:space="0" w:color="auto"/>
        <w:right w:val="none" w:sz="0" w:space="0" w:color="auto"/>
      </w:divBdr>
    </w:div>
    <w:div w:id="766460492">
      <w:bodyDiv w:val="1"/>
      <w:marLeft w:val="0"/>
      <w:marRight w:val="0"/>
      <w:marTop w:val="0"/>
      <w:marBottom w:val="0"/>
      <w:divBdr>
        <w:top w:val="none" w:sz="0" w:space="0" w:color="auto"/>
        <w:left w:val="none" w:sz="0" w:space="0" w:color="auto"/>
        <w:bottom w:val="none" w:sz="0" w:space="0" w:color="auto"/>
        <w:right w:val="none" w:sz="0" w:space="0" w:color="auto"/>
      </w:divBdr>
    </w:div>
    <w:div w:id="779495381">
      <w:bodyDiv w:val="1"/>
      <w:marLeft w:val="0"/>
      <w:marRight w:val="0"/>
      <w:marTop w:val="0"/>
      <w:marBottom w:val="0"/>
      <w:divBdr>
        <w:top w:val="none" w:sz="0" w:space="0" w:color="auto"/>
        <w:left w:val="none" w:sz="0" w:space="0" w:color="auto"/>
        <w:bottom w:val="none" w:sz="0" w:space="0" w:color="auto"/>
        <w:right w:val="none" w:sz="0" w:space="0" w:color="auto"/>
      </w:divBdr>
    </w:div>
    <w:div w:id="785003241">
      <w:bodyDiv w:val="1"/>
      <w:marLeft w:val="0"/>
      <w:marRight w:val="0"/>
      <w:marTop w:val="0"/>
      <w:marBottom w:val="0"/>
      <w:divBdr>
        <w:top w:val="none" w:sz="0" w:space="0" w:color="auto"/>
        <w:left w:val="none" w:sz="0" w:space="0" w:color="auto"/>
        <w:bottom w:val="none" w:sz="0" w:space="0" w:color="auto"/>
        <w:right w:val="none" w:sz="0" w:space="0" w:color="auto"/>
      </w:divBdr>
    </w:div>
    <w:div w:id="785662842">
      <w:bodyDiv w:val="1"/>
      <w:marLeft w:val="0"/>
      <w:marRight w:val="0"/>
      <w:marTop w:val="0"/>
      <w:marBottom w:val="0"/>
      <w:divBdr>
        <w:top w:val="none" w:sz="0" w:space="0" w:color="auto"/>
        <w:left w:val="none" w:sz="0" w:space="0" w:color="auto"/>
        <w:bottom w:val="none" w:sz="0" w:space="0" w:color="auto"/>
        <w:right w:val="none" w:sz="0" w:space="0" w:color="auto"/>
      </w:divBdr>
    </w:div>
    <w:div w:id="807429855">
      <w:bodyDiv w:val="1"/>
      <w:marLeft w:val="0"/>
      <w:marRight w:val="0"/>
      <w:marTop w:val="0"/>
      <w:marBottom w:val="0"/>
      <w:divBdr>
        <w:top w:val="none" w:sz="0" w:space="0" w:color="auto"/>
        <w:left w:val="none" w:sz="0" w:space="0" w:color="auto"/>
        <w:bottom w:val="none" w:sz="0" w:space="0" w:color="auto"/>
        <w:right w:val="none" w:sz="0" w:space="0" w:color="auto"/>
      </w:divBdr>
    </w:div>
    <w:div w:id="832912171">
      <w:bodyDiv w:val="1"/>
      <w:marLeft w:val="0"/>
      <w:marRight w:val="0"/>
      <w:marTop w:val="0"/>
      <w:marBottom w:val="0"/>
      <w:divBdr>
        <w:top w:val="none" w:sz="0" w:space="0" w:color="auto"/>
        <w:left w:val="none" w:sz="0" w:space="0" w:color="auto"/>
        <w:bottom w:val="none" w:sz="0" w:space="0" w:color="auto"/>
        <w:right w:val="none" w:sz="0" w:space="0" w:color="auto"/>
      </w:divBdr>
    </w:div>
    <w:div w:id="990789754">
      <w:bodyDiv w:val="1"/>
      <w:marLeft w:val="0"/>
      <w:marRight w:val="0"/>
      <w:marTop w:val="0"/>
      <w:marBottom w:val="0"/>
      <w:divBdr>
        <w:top w:val="none" w:sz="0" w:space="0" w:color="auto"/>
        <w:left w:val="none" w:sz="0" w:space="0" w:color="auto"/>
        <w:bottom w:val="none" w:sz="0" w:space="0" w:color="auto"/>
        <w:right w:val="none" w:sz="0" w:space="0" w:color="auto"/>
      </w:divBdr>
    </w:div>
    <w:div w:id="1017928606">
      <w:bodyDiv w:val="1"/>
      <w:marLeft w:val="0"/>
      <w:marRight w:val="0"/>
      <w:marTop w:val="0"/>
      <w:marBottom w:val="0"/>
      <w:divBdr>
        <w:top w:val="none" w:sz="0" w:space="0" w:color="auto"/>
        <w:left w:val="none" w:sz="0" w:space="0" w:color="auto"/>
        <w:bottom w:val="none" w:sz="0" w:space="0" w:color="auto"/>
        <w:right w:val="none" w:sz="0" w:space="0" w:color="auto"/>
      </w:divBdr>
    </w:div>
    <w:div w:id="1023895632">
      <w:bodyDiv w:val="1"/>
      <w:marLeft w:val="0"/>
      <w:marRight w:val="0"/>
      <w:marTop w:val="0"/>
      <w:marBottom w:val="0"/>
      <w:divBdr>
        <w:top w:val="none" w:sz="0" w:space="0" w:color="auto"/>
        <w:left w:val="none" w:sz="0" w:space="0" w:color="auto"/>
        <w:bottom w:val="none" w:sz="0" w:space="0" w:color="auto"/>
        <w:right w:val="none" w:sz="0" w:space="0" w:color="auto"/>
      </w:divBdr>
    </w:div>
    <w:div w:id="1037320283">
      <w:bodyDiv w:val="1"/>
      <w:marLeft w:val="0"/>
      <w:marRight w:val="0"/>
      <w:marTop w:val="0"/>
      <w:marBottom w:val="0"/>
      <w:divBdr>
        <w:top w:val="none" w:sz="0" w:space="0" w:color="auto"/>
        <w:left w:val="none" w:sz="0" w:space="0" w:color="auto"/>
        <w:bottom w:val="none" w:sz="0" w:space="0" w:color="auto"/>
        <w:right w:val="none" w:sz="0" w:space="0" w:color="auto"/>
      </w:divBdr>
    </w:div>
    <w:div w:id="1069688349">
      <w:bodyDiv w:val="1"/>
      <w:marLeft w:val="0"/>
      <w:marRight w:val="0"/>
      <w:marTop w:val="0"/>
      <w:marBottom w:val="0"/>
      <w:divBdr>
        <w:top w:val="none" w:sz="0" w:space="0" w:color="auto"/>
        <w:left w:val="none" w:sz="0" w:space="0" w:color="auto"/>
        <w:bottom w:val="none" w:sz="0" w:space="0" w:color="auto"/>
        <w:right w:val="none" w:sz="0" w:space="0" w:color="auto"/>
      </w:divBdr>
    </w:div>
    <w:div w:id="1081177709">
      <w:bodyDiv w:val="1"/>
      <w:marLeft w:val="0"/>
      <w:marRight w:val="0"/>
      <w:marTop w:val="0"/>
      <w:marBottom w:val="0"/>
      <w:divBdr>
        <w:top w:val="none" w:sz="0" w:space="0" w:color="auto"/>
        <w:left w:val="none" w:sz="0" w:space="0" w:color="auto"/>
        <w:bottom w:val="none" w:sz="0" w:space="0" w:color="auto"/>
        <w:right w:val="none" w:sz="0" w:space="0" w:color="auto"/>
      </w:divBdr>
    </w:div>
    <w:div w:id="1095054250">
      <w:bodyDiv w:val="1"/>
      <w:marLeft w:val="0"/>
      <w:marRight w:val="0"/>
      <w:marTop w:val="0"/>
      <w:marBottom w:val="0"/>
      <w:divBdr>
        <w:top w:val="none" w:sz="0" w:space="0" w:color="auto"/>
        <w:left w:val="none" w:sz="0" w:space="0" w:color="auto"/>
        <w:bottom w:val="none" w:sz="0" w:space="0" w:color="auto"/>
        <w:right w:val="none" w:sz="0" w:space="0" w:color="auto"/>
      </w:divBdr>
    </w:div>
    <w:div w:id="1118451898">
      <w:bodyDiv w:val="1"/>
      <w:marLeft w:val="0"/>
      <w:marRight w:val="0"/>
      <w:marTop w:val="0"/>
      <w:marBottom w:val="0"/>
      <w:divBdr>
        <w:top w:val="none" w:sz="0" w:space="0" w:color="auto"/>
        <w:left w:val="none" w:sz="0" w:space="0" w:color="auto"/>
        <w:bottom w:val="none" w:sz="0" w:space="0" w:color="auto"/>
        <w:right w:val="none" w:sz="0" w:space="0" w:color="auto"/>
      </w:divBdr>
    </w:div>
    <w:div w:id="1131249546">
      <w:bodyDiv w:val="1"/>
      <w:marLeft w:val="0"/>
      <w:marRight w:val="0"/>
      <w:marTop w:val="0"/>
      <w:marBottom w:val="0"/>
      <w:divBdr>
        <w:top w:val="none" w:sz="0" w:space="0" w:color="auto"/>
        <w:left w:val="none" w:sz="0" w:space="0" w:color="auto"/>
        <w:bottom w:val="none" w:sz="0" w:space="0" w:color="auto"/>
        <w:right w:val="none" w:sz="0" w:space="0" w:color="auto"/>
      </w:divBdr>
    </w:div>
    <w:div w:id="1166242144">
      <w:bodyDiv w:val="1"/>
      <w:marLeft w:val="0"/>
      <w:marRight w:val="0"/>
      <w:marTop w:val="0"/>
      <w:marBottom w:val="0"/>
      <w:divBdr>
        <w:top w:val="none" w:sz="0" w:space="0" w:color="auto"/>
        <w:left w:val="none" w:sz="0" w:space="0" w:color="auto"/>
        <w:bottom w:val="none" w:sz="0" w:space="0" w:color="auto"/>
        <w:right w:val="none" w:sz="0" w:space="0" w:color="auto"/>
      </w:divBdr>
    </w:div>
    <w:div w:id="1216621925">
      <w:bodyDiv w:val="1"/>
      <w:marLeft w:val="0"/>
      <w:marRight w:val="0"/>
      <w:marTop w:val="0"/>
      <w:marBottom w:val="0"/>
      <w:divBdr>
        <w:top w:val="none" w:sz="0" w:space="0" w:color="auto"/>
        <w:left w:val="none" w:sz="0" w:space="0" w:color="auto"/>
        <w:bottom w:val="none" w:sz="0" w:space="0" w:color="auto"/>
        <w:right w:val="none" w:sz="0" w:space="0" w:color="auto"/>
      </w:divBdr>
    </w:div>
    <w:div w:id="1245872068">
      <w:bodyDiv w:val="1"/>
      <w:marLeft w:val="0"/>
      <w:marRight w:val="0"/>
      <w:marTop w:val="0"/>
      <w:marBottom w:val="0"/>
      <w:divBdr>
        <w:top w:val="none" w:sz="0" w:space="0" w:color="auto"/>
        <w:left w:val="none" w:sz="0" w:space="0" w:color="auto"/>
        <w:bottom w:val="none" w:sz="0" w:space="0" w:color="auto"/>
        <w:right w:val="none" w:sz="0" w:space="0" w:color="auto"/>
      </w:divBdr>
    </w:div>
    <w:div w:id="1260529574">
      <w:bodyDiv w:val="1"/>
      <w:marLeft w:val="0"/>
      <w:marRight w:val="0"/>
      <w:marTop w:val="0"/>
      <w:marBottom w:val="0"/>
      <w:divBdr>
        <w:top w:val="none" w:sz="0" w:space="0" w:color="auto"/>
        <w:left w:val="none" w:sz="0" w:space="0" w:color="auto"/>
        <w:bottom w:val="none" w:sz="0" w:space="0" w:color="auto"/>
        <w:right w:val="none" w:sz="0" w:space="0" w:color="auto"/>
      </w:divBdr>
    </w:div>
    <w:div w:id="1268465937">
      <w:bodyDiv w:val="1"/>
      <w:marLeft w:val="0"/>
      <w:marRight w:val="0"/>
      <w:marTop w:val="0"/>
      <w:marBottom w:val="0"/>
      <w:divBdr>
        <w:top w:val="none" w:sz="0" w:space="0" w:color="auto"/>
        <w:left w:val="none" w:sz="0" w:space="0" w:color="auto"/>
        <w:bottom w:val="none" w:sz="0" w:space="0" w:color="auto"/>
        <w:right w:val="none" w:sz="0" w:space="0" w:color="auto"/>
      </w:divBdr>
    </w:div>
    <w:div w:id="1286694861">
      <w:bodyDiv w:val="1"/>
      <w:marLeft w:val="0"/>
      <w:marRight w:val="0"/>
      <w:marTop w:val="0"/>
      <w:marBottom w:val="0"/>
      <w:divBdr>
        <w:top w:val="none" w:sz="0" w:space="0" w:color="auto"/>
        <w:left w:val="none" w:sz="0" w:space="0" w:color="auto"/>
        <w:bottom w:val="none" w:sz="0" w:space="0" w:color="auto"/>
        <w:right w:val="none" w:sz="0" w:space="0" w:color="auto"/>
      </w:divBdr>
    </w:div>
    <w:div w:id="1314414125">
      <w:bodyDiv w:val="1"/>
      <w:marLeft w:val="0"/>
      <w:marRight w:val="0"/>
      <w:marTop w:val="0"/>
      <w:marBottom w:val="0"/>
      <w:divBdr>
        <w:top w:val="none" w:sz="0" w:space="0" w:color="auto"/>
        <w:left w:val="none" w:sz="0" w:space="0" w:color="auto"/>
        <w:bottom w:val="none" w:sz="0" w:space="0" w:color="auto"/>
        <w:right w:val="none" w:sz="0" w:space="0" w:color="auto"/>
      </w:divBdr>
    </w:div>
    <w:div w:id="1318265717">
      <w:bodyDiv w:val="1"/>
      <w:marLeft w:val="0"/>
      <w:marRight w:val="0"/>
      <w:marTop w:val="0"/>
      <w:marBottom w:val="0"/>
      <w:divBdr>
        <w:top w:val="none" w:sz="0" w:space="0" w:color="auto"/>
        <w:left w:val="none" w:sz="0" w:space="0" w:color="auto"/>
        <w:bottom w:val="none" w:sz="0" w:space="0" w:color="auto"/>
        <w:right w:val="none" w:sz="0" w:space="0" w:color="auto"/>
      </w:divBdr>
    </w:div>
    <w:div w:id="1378160947">
      <w:bodyDiv w:val="1"/>
      <w:marLeft w:val="0"/>
      <w:marRight w:val="0"/>
      <w:marTop w:val="0"/>
      <w:marBottom w:val="0"/>
      <w:divBdr>
        <w:top w:val="none" w:sz="0" w:space="0" w:color="auto"/>
        <w:left w:val="none" w:sz="0" w:space="0" w:color="auto"/>
        <w:bottom w:val="none" w:sz="0" w:space="0" w:color="auto"/>
        <w:right w:val="none" w:sz="0" w:space="0" w:color="auto"/>
      </w:divBdr>
    </w:div>
    <w:div w:id="1385060906">
      <w:bodyDiv w:val="1"/>
      <w:marLeft w:val="0"/>
      <w:marRight w:val="0"/>
      <w:marTop w:val="0"/>
      <w:marBottom w:val="0"/>
      <w:divBdr>
        <w:top w:val="none" w:sz="0" w:space="0" w:color="auto"/>
        <w:left w:val="none" w:sz="0" w:space="0" w:color="auto"/>
        <w:bottom w:val="none" w:sz="0" w:space="0" w:color="auto"/>
        <w:right w:val="none" w:sz="0" w:space="0" w:color="auto"/>
      </w:divBdr>
    </w:div>
    <w:div w:id="1403983210">
      <w:bodyDiv w:val="1"/>
      <w:marLeft w:val="0"/>
      <w:marRight w:val="0"/>
      <w:marTop w:val="0"/>
      <w:marBottom w:val="0"/>
      <w:divBdr>
        <w:top w:val="none" w:sz="0" w:space="0" w:color="auto"/>
        <w:left w:val="none" w:sz="0" w:space="0" w:color="auto"/>
        <w:bottom w:val="none" w:sz="0" w:space="0" w:color="auto"/>
        <w:right w:val="none" w:sz="0" w:space="0" w:color="auto"/>
      </w:divBdr>
    </w:div>
    <w:div w:id="1476725663">
      <w:bodyDiv w:val="1"/>
      <w:marLeft w:val="0"/>
      <w:marRight w:val="0"/>
      <w:marTop w:val="0"/>
      <w:marBottom w:val="0"/>
      <w:divBdr>
        <w:top w:val="none" w:sz="0" w:space="0" w:color="auto"/>
        <w:left w:val="none" w:sz="0" w:space="0" w:color="auto"/>
        <w:bottom w:val="none" w:sz="0" w:space="0" w:color="auto"/>
        <w:right w:val="none" w:sz="0" w:space="0" w:color="auto"/>
      </w:divBdr>
    </w:div>
    <w:div w:id="1548836642">
      <w:bodyDiv w:val="1"/>
      <w:marLeft w:val="0"/>
      <w:marRight w:val="0"/>
      <w:marTop w:val="0"/>
      <w:marBottom w:val="0"/>
      <w:divBdr>
        <w:top w:val="none" w:sz="0" w:space="0" w:color="auto"/>
        <w:left w:val="none" w:sz="0" w:space="0" w:color="auto"/>
        <w:bottom w:val="none" w:sz="0" w:space="0" w:color="auto"/>
        <w:right w:val="none" w:sz="0" w:space="0" w:color="auto"/>
      </w:divBdr>
    </w:div>
    <w:div w:id="1570572718">
      <w:bodyDiv w:val="1"/>
      <w:marLeft w:val="0"/>
      <w:marRight w:val="0"/>
      <w:marTop w:val="0"/>
      <w:marBottom w:val="0"/>
      <w:divBdr>
        <w:top w:val="none" w:sz="0" w:space="0" w:color="auto"/>
        <w:left w:val="none" w:sz="0" w:space="0" w:color="auto"/>
        <w:bottom w:val="none" w:sz="0" w:space="0" w:color="auto"/>
        <w:right w:val="none" w:sz="0" w:space="0" w:color="auto"/>
      </w:divBdr>
    </w:div>
    <w:div w:id="1716468171">
      <w:bodyDiv w:val="1"/>
      <w:marLeft w:val="0"/>
      <w:marRight w:val="0"/>
      <w:marTop w:val="0"/>
      <w:marBottom w:val="0"/>
      <w:divBdr>
        <w:top w:val="none" w:sz="0" w:space="0" w:color="auto"/>
        <w:left w:val="none" w:sz="0" w:space="0" w:color="auto"/>
        <w:bottom w:val="none" w:sz="0" w:space="0" w:color="auto"/>
        <w:right w:val="none" w:sz="0" w:space="0" w:color="auto"/>
      </w:divBdr>
    </w:div>
    <w:div w:id="1806266207">
      <w:bodyDiv w:val="1"/>
      <w:marLeft w:val="0"/>
      <w:marRight w:val="0"/>
      <w:marTop w:val="0"/>
      <w:marBottom w:val="0"/>
      <w:divBdr>
        <w:top w:val="none" w:sz="0" w:space="0" w:color="auto"/>
        <w:left w:val="none" w:sz="0" w:space="0" w:color="auto"/>
        <w:bottom w:val="none" w:sz="0" w:space="0" w:color="auto"/>
        <w:right w:val="none" w:sz="0" w:space="0" w:color="auto"/>
      </w:divBdr>
    </w:div>
    <w:div w:id="1869951978">
      <w:bodyDiv w:val="1"/>
      <w:marLeft w:val="0"/>
      <w:marRight w:val="0"/>
      <w:marTop w:val="0"/>
      <w:marBottom w:val="0"/>
      <w:divBdr>
        <w:top w:val="none" w:sz="0" w:space="0" w:color="auto"/>
        <w:left w:val="none" w:sz="0" w:space="0" w:color="auto"/>
        <w:bottom w:val="none" w:sz="0" w:space="0" w:color="auto"/>
        <w:right w:val="none" w:sz="0" w:space="0" w:color="auto"/>
      </w:divBdr>
    </w:div>
    <w:div w:id="1881361231">
      <w:bodyDiv w:val="1"/>
      <w:marLeft w:val="0"/>
      <w:marRight w:val="0"/>
      <w:marTop w:val="0"/>
      <w:marBottom w:val="0"/>
      <w:divBdr>
        <w:top w:val="none" w:sz="0" w:space="0" w:color="auto"/>
        <w:left w:val="none" w:sz="0" w:space="0" w:color="auto"/>
        <w:bottom w:val="none" w:sz="0" w:space="0" w:color="auto"/>
        <w:right w:val="none" w:sz="0" w:space="0" w:color="auto"/>
      </w:divBdr>
    </w:div>
    <w:div w:id="1890680227">
      <w:bodyDiv w:val="1"/>
      <w:marLeft w:val="0"/>
      <w:marRight w:val="0"/>
      <w:marTop w:val="0"/>
      <w:marBottom w:val="0"/>
      <w:divBdr>
        <w:top w:val="none" w:sz="0" w:space="0" w:color="auto"/>
        <w:left w:val="none" w:sz="0" w:space="0" w:color="auto"/>
        <w:bottom w:val="none" w:sz="0" w:space="0" w:color="auto"/>
        <w:right w:val="none" w:sz="0" w:space="0" w:color="auto"/>
      </w:divBdr>
    </w:div>
    <w:div w:id="1906600883">
      <w:bodyDiv w:val="1"/>
      <w:marLeft w:val="0"/>
      <w:marRight w:val="0"/>
      <w:marTop w:val="0"/>
      <w:marBottom w:val="0"/>
      <w:divBdr>
        <w:top w:val="none" w:sz="0" w:space="0" w:color="auto"/>
        <w:left w:val="none" w:sz="0" w:space="0" w:color="auto"/>
        <w:bottom w:val="none" w:sz="0" w:space="0" w:color="auto"/>
        <w:right w:val="none" w:sz="0" w:space="0" w:color="auto"/>
      </w:divBdr>
    </w:div>
    <w:div w:id="2015720011">
      <w:bodyDiv w:val="1"/>
      <w:marLeft w:val="0"/>
      <w:marRight w:val="0"/>
      <w:marTop w:val="0"/>
      <w:marBottom w:val="0"/>
      <w:divBdr>
        <w:top w:val="none" w:sz="0" w:space="0" w:color="auto"/>
        <w:left w:val="none" w:sz="0" w:space="0" w:color="auto"/>
        <w:bottom w:val="none" w:sz="0" w:space="0" w:color="auto"/>
        <w:right w:val="none" w:sz="0" w:space="0" w:color="auto"/>
      </w:divBdr>
    </w:div>
    <w:div w:id="2040467467">
      <w:bodyDiv w:val="1"/>
      <w:marLeft w:val="0"/>
      <w:marRight w:val="0"/>
      <w:marTop w:val="0"/>
      <w:marBottom w:val="0"/>
      <w:divBdr>
        <w:top w:val="none" w:sz="0" w:space="0" w:color="auto"/>
        <w:left w:val="none" w:sz="0" w:space="0" w:color="auto"/>
        <w:bottom w:val="none" w:sz="0" w:space="0" w:color="auto"/>
        <w:right w:val="none" w:sz="0" w:space="0" w:color="auto"/>
      </w:divBdr>
    </w:div>
    <w:div w:id="20461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C209-F2B3-4A29-8FE6-F9262CAB0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2987</Words>
  <Characters>14939</Characters>
  <Application>Microsoft Office Word</Application>
  <DocSecurity>0</DocSecurity>
  <Lines>124</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9</cp:revision>
  <dcterms:created xsi:type="dcterms:W3CDTF">2017-05-12T13:40:00Z</dcterms:created>
  <dcterms:modified xsi:type="dcterms:W3CDTF">2017-09-26T21:07:00Z</dcterms:modified>
</cp:coreProperties>
</file>