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36" w:rsidRDefault="003D0936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Practice of Law</w:t>
      </w:r>
    </w:p>
    <w:p w:rsidR="003D0936" w:rsidRPr="001F18E2" w:rsidRDefault="003D0936" w:rsidP="003D0936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Bar-On, Shani and David De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"'In the Procrustean Bed of Professionalism': Lawyers and the Making of the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Histadrut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Workers' Tribunals in 1920s-1930s Palestine."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Labor, Society and Law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8 (2001): 15-42 (Hebrew).</w:t>
            </w:r>
            <w:bookmarkStart w:id="0" w:name="_GoBack"/>
            <w:bookmarkEnd w:id="0"/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Ben-David, Yosef.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Social Structure of the Liberal Professions in Israel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(1956) (unpublished Ph.D. dissertation, The Hebrew University of Jerusalem) (Hebrew).  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>, Nathan.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Judges and Lawyers in 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Between Constantinople and Jerusalem, 1900-1930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Press (2008) (Hebrew). 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Gvirtz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>, Yael.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Bar's 50th Anniversary Book 1961-2011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. Tel Aviv: The Israel Bar-Publishing House (2011) (Hebrew).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"The 'Overcrowding the Profession' Argument and the Professional Melting Pot."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the Legal Profession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 19(2-3) (2012): 301-319.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"'Women in a Male Toga': Women's Integration into the Legal Profession in the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and Israel." In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32(1) (2010): 69-125 (Hebrew). 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Ginzberg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and Her Battle to Become a Lawyer in Pre-State Israel." In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253-292 (Hebrew).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25(1) (2009): 237-284 (Hebrew). 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"Rosa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Ginossar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." In Paula Hyman and Dalia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Jewish Women: A Comprehensive Historical Encyclopedia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. Brookline: Jewish Women's Archive (2006).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Ruth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Halperin-Kadarri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and Tamar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Trau-Zitinsky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Women Lawyers in Palestine, 1930-1948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>. (2009) (Hebrew).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"'The Time Has Not Yet Come to Repair the World in the Kingdom of God': Israeli Lawyers and the Failed Jewish Legal Revolution of 1948." In Marc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Galanter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et al.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Jews and the Law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. New Orleans: Quid Pro Books (2014): 359-383.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"Arab Lawyers and French Identity in Mandatory Palestine."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25(1) (2009): 213-235 (Hebrew). 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Rabinovitch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Pinhas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Truth and Lies in Court: The Memoir of a Lawyer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Shashar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(1992) (Hebrew). </w:t>
            </w:r>
          </w:p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Sela-Sheffy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Rakefet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"Integration Through Distinction: German-Jewish Immigrants, the Legal Profession and Patterns of Bourgeois Culture in British-Ruled Jewish Palestine."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Journal of Historical Sociology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19 (2006): 34-59.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Jekes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in the Legal Field and Bourgeois Culture in Pre-Israel British Palestine." 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13 (2003): 295-322 (Hebrew).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Shamir, Ronen. "Nation-Building and Colonialism: The Case of Jewish Lawyers in Palestine."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the Legal Profession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8(2) (2002): 109-130. 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Strasmann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Wearing the Robes: A History of the Legal Profession until 1962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. Tel Aviv: The Israel Bar-Publishing House (1985) (Hebrew).</w:t>
            </w:r>
          </w:p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Who Will Guard the Guardians of Laws? Lawyers in Israel Between the State, Market and the Civil Society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A2627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(2015) (Hebrew).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"Who Moved My Gown? On the Unauthorized Practice of Law in Israel."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 24(2) (2008): 439-489 (Hebrew).</w:t>
            </w:r>
          </w:p>
        </w:tc>
      </w:tr>
      <w:tr w:rsidR="009A2627" w:rsidRPr="009A2627" w:rsidTr="009A2627">
        <w:trPr>
          <w:trHeight w:val="285"/>
        </w:trPr>
        <w:tc>
          <w:tcPr>
            <w:tcW w:w="8670" w:type="dxa"/>
            <w:noWrap/>
            <w:hideMark/>
          </w:tcPr>
          <w:p w:rsidR="009A2627" w:rsidRPr="009A2627" w:rsidRDefault="009A2627" w:rsidP="009A262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 xml:space="preserve">"Combining Professionalism, Nation Building and Public Service: The Professional Project of the Israeli Bar, 1928-2002." </w:t>
            </w:r>
            <w:r w:rsidRPr="009A262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Fordham Law Review </w:t>
            </w:r>
            <w:r w:rsidRPr="009A2627">
              <w:rPr>
                <w:rFonts w:asciiTheme="majorBidi" w:hAnsiTheme="majorBidi" w:cstheme="majorBidi"/>
                <w:sz w:val="20"/>
                <w:szCs w:val="20"/>
              </w:rPr>
              <w:t>71(4) (2003): 1621-1667.</w:t>
            </w:r>
          </w:p>
        </w:tc>
      </w:tr>
    </w:tbl>
    <w:p w:rsidR="004C393D" w:rsidRPr="003D0936" w:rsidRDefault="004C393D" w:rsidP="003D0936"/>
    <w:sectPr w:rsidR="004C393D" w:rsidRPr="003D0936" w:rsidSect="000507BF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25" w:rsidRDefault="00173D25" w:rsidP="00372782">
      <w:pPr>
        <w:spacing w:after="0" w:line="240" w:lineRule="auto"/>
      </w:pPr>
      <w:r>
        <w:separator/>
      </w:r>
    </w:p>
  </w:endnote>
  <w:endnote w:type="continuationSeparator" w:id="0">
    <w:p w:rsidR="00173D25" w:rsidRDefault="00173D25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A2627" w:rsidRPr="009A2627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25" w:rsidRDefault="00173D25" w:rsidP="00372782">
      <w:pPr>
        <w:spacing w:after="0" w:line="240" w:lineRule="auto"/>
      </w:pPr>
      <w:r>
        <w:separator/>
      </w:r>
    </w:p>
  </w:footnote>
  <w:footnote w:type="continuationSeparator" w:id="0">
    <w:p w:rsidR="00173D25" w:rsidRDefault="00173D25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07BF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3D25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0936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00F1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2627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C7B85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4F0A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169E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FB6E-4C2C-4D1D-9281-8293144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2017-05-12T14:26:00Z</dcterms:created>
  <dcterms:modified xsi:type="dcterms:W3CDTF">2017-09-26T19:53:00Z</dcterms:modified>
</cp:coreProperties>
</file>