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45" w:rsidRDefault="00757445" w:rsidP="00757445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7820C1">
        <w:rPr>
          <w:rFonts w:asciiTheme="majorBidi" w:hAnsiTheme="majorBidi" w:cstheme="majorBidi"/>
          <w:b/>
          <w:bCs/>
        </w:rPr>
        <w:t>Tort Law</w:t>
      </w:r>
    </w:p>
    <w:p w:rsidR="00757445" w:rsidRPr="007820C1" w:rsidRDefault="00757445" w:rsidP="00757445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2019C" w:rsidRPr="00C2019C" w:rsidTr="00C2019C">
        <w:trPr>
          <w:trHeight w:val="285"/>
        </w:trPr>
        <w:tc>
          <w:tcPr>
            <w:tcW w:w="8670" w:type="dxa"/>
            <w:noWrap/>
            <w:hideMark/>
          </w:tcPr>
          <w:p w:rsidR="00C2019C" w:rsidRDefault="00C2019C" w:rsidP="00C2019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Barak, </w:t>
            </w:r>
            <w:proofErr w:type="spellStart"/>
            <w:r w:rsidRPr="00C2019C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. "The Codification of Civil Law and the Law of Torts." </w:t>
            </w:r>
            <w:r w:rsidRPr="00C2019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 24(3-4) (1990): 628-650. [Also published in Hebrew (</w:t>
            </w:r>
            <w:proofErr w:type="spellStart"/>
            <w:r w:rsidRPr="00C2019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C2019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 19(4) (1990): 631-646)].</w:t>
            </w:r>
          </w:p>
          <w:p w:rsidR="00C2019C" w:rsidRPr="00C2019C" w:rsidRDefault="00C2019C" w:rsidP="00C2019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019C" w:rsidRPr="00C2019C" w:rsidTr="00C2019C">
        <w:trPr>
          <w:trHeight w:val="285"/>
        </w:trPr>
        <w:tc>
          <w:tcPr>
            <w:tcW w:w="8670" w:type="dxa"/>
            <w:noWrap/>
            <w:hideMark/>
          </w:tcPr>
          <w:p w:rsidR="00C2019C" w:rsidRDefault="00C2019C" w:rsidP="00C2019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De </w:t>
            </w:r>
            <w:proofErr w:type="spellStart"/>
            <w:r w:rsidRPr="00C2019C">
              <w:rPr>
                <w:rFonts w:asciiTheme="majorBidi" w:hAnsiTheme="majorBidi" w:cstheme="majorBidi"/>
                <w:sz w:val="20"/>
                <w:szCs w:val="20"/>
              </w:rPr>
              <w:t>Vries</w:t>
            </w:r>
            <w:proofErr w:type="spellEnd"/>
            <w:r w:rsidRPr="00C2019C">
              <w:rPr>
                <w:rFonts w:asciiTheme="majorBidi" w:hAnsiTheme="majorBidi" w:cstheme="majorBidi"/>
                <w:sz w:val="20"/>
                <w:szCs w:val="20"/>
              </w:rPr>
              <w:t>, David. "Adamant and Multifaceted: Di</w:t>
            </w:r>
            <w:bookmarkStart w:id="0" w:name="_GoBack"/>
            <w:bookmarkEnd w:id="0"/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amond Workers' Strikes in World War II Palestine." </w:t>
            </w:r>
            <w:r w:rsidRPr="00C2019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Workers of the World: International Journal on Strikes and Social Conflict</w:t>
            </w:r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Pr="00C2019C">
              <w:rPr>
                <w:rFonts w:asciiTheme="majorBidi" w:hAnsiTheme="majorBidi" w:cstheme="majorBidi"/>
                <w:sz w:val="20"/>
                <w:szCs w:val="20"/>
              </w:rPr>
              <w:t>I(</w:t>
            </w:r>
            <w:proofErr w:type="gramEnd"/>
            <w:r w:rsidRPr="00C2019C">
              <w:rPr>
                <w:rFonts w:asciiTheme="majorBidi" w:hAnsiTheme="majorBidi" w:cstheme="majorBidi"/>
                <w:sz w:val="20"/>
                <w:szCs w:val="20"/>
              </w:rPr>
              <w:t>2) (2013): 215-229.</w:t>
            </w:r>
          </w:p>
          <w:p w:rsidR="00C2019C" w:rsidRPr="00C2019C" w:rsidRDefault="00C2019C" w:rsidP="00C2019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C2019C" w:rsidRPr="00C2019C" w:rsidTr="00C2019C">
        <w:trPr>
          <w:trHeight w:val="285"/>
        </w:trPr>
        <w:tc>
          <w:tcPr>
            <w:tcW w:w="8670" w:type="dxa"/>
            <w:noWrap/>
            <w:hideMark/>
          </w:tcPr>
          <w:p w:rsidR="00C2019C" w:rsidRDefault="00C2019C" w:rsidP="00C2019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2019C">
              <w:rPr>
                <w:rFonts w:asciiTheme="majorBidi" w:hAnsiTheme="majorBidi" w:cstheme="majorBidi"/>
                <w:sz w:val="20"/>
                <w:szCs w:val="20"/>
              </w:rPr>
              <w:t>Friedmann</w:t>
            </w:r>
            <w:proofErr w:type="spellEnd"/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, Daniel. "Infusion of the Common Law into the Legal System of Israel." </w:t>
            </w:r>
            <w:r w:rsidRPr="00C2019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 10(3) (1975): 324-377. </w:t>
            </w:r>
          </w:p>
          <w:p w:rsidR="00C2019C" w:rsidRPr="00C2019C" w:rsidRDefault="00C2019C" w:rsidP="00C2019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019C" w:rsidRPr="00C2019C" w:rsidTr="00C2019C">
        <w:trPr>
          <w:trHeight w:val="285"/>
        </w:trPr>
        <w:tc>
          <w:tcPr>
            <w:tcW w:w="8670" w:type="dxa"/>
            <w:noWrap/>
            <w:hideMark/>
          </w:tcPr>
          <w:p w:rsidR="00C2019C" w:rsidRPr="00C2019C" w:rsidRDefault="00C2019C" w:rsidP="00C2019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Gilead, Israel. "The Evolvement of the Israeli Tort Law from Its Common Law Origins." In Alfredo Mordechai </w:t>
            </w:r>
            <w:proofErr w:type="spellStart"/>
            <w:r w:rsidRPr="00C2019C">
              <w:rPr>
                <w:rFonts w:asciiTheme="majorBidi" w:hAnsiTheme="majorBidi" w:cstheme="majorBidi"/>
                <w:sz w:val="20"/>
                <w:szCs w:val="20"/>
              </w:rPr>
              <w:t>Rabello</w:t>
            </w:r>
            <w:proofErr w:type="spellEnd"/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C2019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European Legal Traditions and Israel</w:t>
            </w:r>
            <w:r w:rsidRPr="00C2019C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C2019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Jerusalem: The Harry and Michael </w:t>
            </w:r>
            <w:proofErr w:type="spellStart"/>
            <w:r w:rsidRPr="00C2019C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(1994): 523-530.</w:t>
            </w:r>
          </w:p>
        </w:tc>
      </w:tr>
      <w:tr w:rsidR="00C2019C" w:rsidRPr="00C2019C" w:rsidTr="00C2019C">
        <w:trPr>
          <w:trHeight w:val="285"/>
        </w:trPr>
        <w:tc>
          <w:tcPr>
            <w:tcW w:w="8670" w:type="dxa"/>
            <w:noWrap/>
            <w:hideMark/>
          </w:tcPr>
          <w:p w:rsidR="00C2019C" w:rsidRDefault="00C2019C" w:rsidP="00C2019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"Issues in the Law of Torts (In Response to Justice A. Barak)." </w:t>
            </w:r>
            <w:r w:rsidRPr="00C2019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 24(3-4) (1990): 651-656. [Also published in Hebrew (</w:t>
            </w:r>
            <w:proofErr w:type="spellStart"/>
            <w:r w:rsidRPr="00C2019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C2019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 19(4) (1990): 647-650)].</w:t>
            </w:r>
          </w:p>
          <w:p w:rsidR="00C2019C" w:rsidRPr="00C2019C" w:rsidRDefault="00C2019C" w:rsidP="00C2019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019C" w:rsidRPr="00C2019C" w:rsidTr="00C2019C">
        <w:trPr>
          <w:trHeight w:val="285"/>
        </w:trPr>
        <w:tc>
          <w:tcPr>
            <w:tcW w:w="8670" w:type="dxa"/>
            <w:noWrap/>
            <w:hideMark/>
          </w:tcPr>
          <w:p w:rsidR="00C2019C" w:rsidRDefault="00C2019C" w:rsidP="00C2019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2019C">
              <w:rPr>
                <w:rFonts w:asciiTheme="majorBidi" w:hAnsiTheme="majorBidi" w:cstheme="majorBidi"/>
                <w:sz w:val="20"/>
                <w:szCs w:val="20"/>
              </w:rPr>
              <w:t>Hershkoviz</w:t>
            </w:r>
            <w:proofErr w:type="spellEnd"/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, Moshe. </w:t>
            </w:r>
            <w:proofErr w:type="spellStart"/>
            <w:r w:rsidRPr="00C2019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HaRav</w:t>
            </w:r>
            <w:proofErr w:type="spellEnd"/>
            <w:r w:rsidRPr="00C2019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Herzog as a Jurist: Trends of Judicial Creativity in Monetary Laws According to the Halachic-Judicial Writing of </w:t>
            </w:r>
            <w:proofErr w:type="spellStart"/>
            <w:r w:rsidRPr="00C2019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HaRav</w:t>
            </w:r>
            <w:proofErr w:type="spellEnd"/>
            <w:r w:rsidRPr="00C2019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Herzog</w:t>
            </w:r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 (2014) (unpublished Ph.D. dissertation, Bar-</w:t>
            </w:r>
            <w:proofErr w:type="spellStart"/>
            <w:r w:rsidRPr="00C2019C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 University) (Hebrew).   </w:t>
            </w:r>
          </w:p>
          <w:p w:rsidR="00C2019C" w:rsidRPr="00C2019C" w:rsidRDefault="00C2019C" w:rsidP="00C2019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019C" w:rsidRPr="00C2019C" w:rsidTr="00C2019C">
        <w:trPr>
          <w:trHeight w:val="285"/>
        </w:trPr>
        <w:tc>
          <w:tcPr>
            <w:tcW w:w="8670" w:type="dxa"/>
            <w:noWrap/>
            <w:hideMark/>
          </w:tcPr>
          <w:p w:rsidR="00C2019C" w:rsidRDefault="00C2019C" w:rsidP="00C2019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2019C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2019C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. "Two </w:t>
            </w:r>
            <w:proofErr w:type="spellStart"/>
            <w:r w:rsidRPr="00C2019C">
              <w:rPr>
                <w:rFonts w:asciiTheme="majorBidi" w:hAnsiTheme="majorBidi" w:cstheme="majorBidi"/>
                <w:sz w:val="20"/>
                <w:szCs w:val="20"/>
              </w:rPr>
              <w:t>Horwitzian</w:t>
            </w:r>
            <w:proofErr w:type="spellEnd"/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 Journeys." In Daniel W. Hamilton and Alfred L. Brophy eds. </w:t>
            </w:r>
            <w:r w:rsidRPr="00C2019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Transformations in American Legal History: Essays in Honor of Professor Morton J. Horwitz</w:t>
            </w:r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. Cambridge, MA: Harvard University Press (2009): 300-318.  </w:t>
            </w:r>
          </w:p>
          <w:p w:rsidR="00C2019C" w:rsidRPr="00C2019C" w:rsidRDefault="00C2019C" w:rsidP="00C2019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019C" w:rsidRPr="00C2019C" w:rsidTr="00C2019C">
        <w:trPr>
          <w:trHeight w:val="285"/>
        </w:trPr>
        <w:tc>
          <w:tcPr>
            <w:tcW w:w="8670" w:type="dxa"/>
            <w:noWrap/>
            <w:hideMark/>
          </w:tcPr>
          <w:p w:rsidR="00C2019C" w:rsidRDefault="00C2019C" w:rsidP="00C2019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2019C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, Menachem. </w:t>
            </w:r>
            <w:r w:rsidRPr="00C2019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Decline of Formalism and the Rise of Values in Israeli Law</w:t>
            </w:r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2019C">
              <w:rPr>
                <w:rFonts w:asciiTheme="majorBidi" w:hAnsiTheme="majorBidi" w:cstheme="majorBidi"/>
                <w:sz w:val="20"/>
                <w:szCs w:val="20"/>
              </w:rPr>
              <w:t>Ma'agalay</w:t>
            </w:r>
            <w:proofErr w:type="spellEnd"/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2019C">
              <w:rPr>
                <w:rFonts w:asciiTheme="majorBidi" w:hAnsiTheme="majorBidi" w:cstheme="majorBidi"/>
                <w:sz w:val="20"/>
                <w:szCs w:val="20"/>
              </w:rPr>
              <w:t>Da'at</w:t>
            </w:r>
            <w:proofErr w:type="spellEnd"/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 (1993) (Hebrew).</w:t>
            </w:r>
          </w:p>
          <w:p w:rsidR="00C2019C" w:rsidRPr="00C2019C" w:rsidRDefault="00C2019C" w:rsidP="00C2019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019C" w:rsidRPr="00C2019C" w:rsidTr="00C2019C">
        <w:trPr>
          <w:trHeight w:val="285"/>
        </w:trPr>
        <w:tc>
          <w:tcPr>
            <w:tcW w:w="8670" w:type="dxa"/>
            <w:noWrap/>
            <w:hideMark/>
          </w:tcPr>
          <w:p w:rsidR="00C2019C" w:rsidRPr="00C2019C" w:rsidRDefault="00C2019C" w:rsidP="00C2019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2019C">
              <w:rPr>
                <w:rFonts w:asciiTheme="majorBidi" w:hAnsiTheme="majorBidi" w:cstheme="majorBidi"/>
                <w:sz w:val="20"/>
                <w:szCs w:val="20"/>
              </w:rPr>
              <w:t>Rozen</w:t>
            </w:r>
            <w:proofErr w:type="spellEnd"/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 Ozer, Michal.</w:t>
            </w:r>
            <w:r w:rsidRPr="00C2019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Community Practice's Place in Tort Law</w:t>
            </w:r>
            <w:r w:rsidRPr="00C2019C">
              <w:rPr>
                <w:rFonts w:asciiTheme="majorBidi" w:hAnsiTheme="majorBidi" w:cstheme="majorBidi"/>
                <w:sz w:val="20"/>
                <w:szCs w:val="20"/>
              </w:rPr>
              <w:t xml:space="preserve"> (2005) (unpublished LL.M. thesis, Tel Aviv University) (Hebrew).</w:t>
            </w:r>
          </w:p>
        </w:tc>
      </w:tr>
    </w:tbl>
    <w:p w:rsidR="004C393D" w:rsidRPr="00757445" w:rsidRDefault="004C393D" w:rsidP="00757445"/>
    <w:sectPr w:rsidR="004C393D" w:rsidRPr="00757445" w:rsidSect="00535AB9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35" w:rsidRDefault="002E4A35" w:rsidP="00372782">
      <w:pPr>
        <w:spacing w:after="0" w:line="240" w:lineRule="auto"/>
      </w:pPr>
      <w:r>
        <w:separator/>
      </w:r>
    </w:p>
  </w:endnote>
  <w:endnote w:type="continuationSeparator" w:id="0">
    <w:p w:rsidR="002E4A35" w:rsidRDefault="002E4A35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C2019C" w:rsidRPr="00C2019C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35" w:rsidRDefault="002E4A35" w:rsidP="00372782">
      <w:pPr>
        <w:spacing w:after="0" w:line="240" w:lineRule="auto"/>
      </w:pPr>
      <w:r>
        <w:separator/>
      </w:r>
    </w:p>
  </w:footnote>
  <w:footnote w:type="continuationSeparator" w:id="0">
    <w:p w:rsidR="002E4A35" w:rsidRDefault="002E4A35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4DDF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A35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32F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5AB9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57445"/>
    <w:rsid w:val="0076076C"/>
    <w:rsid w:val="00761479"/>
    <w:rsid w:val="0076281B"/>
    <w:rsid w:val="007642D8"/>
    <w:rsid w:val="0076696A"/>
    <w:rsid w:val="00766F40"/>
    <w:rsid w:val="00767F72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019C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169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5F2F-B7F5-4A79-9BF2-40EF2CBF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5</cp:revision>
  <dcterms:created xsi:type="dcterms:W3CDTF">2017-05-12T14:06:00Z</dcterms:created>
  <dcterms:modified xsi:type="dcterms:W3CDTF">2017-09-26T20:31:00Z</dcterms:modified>
</cp:coreProperties>
</file>