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68" w:rsidRDefault="000A3568" w:rsidP="000A3568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1F18E2">
        <w:rPr>
          <w:rFonts w:asciiTheme="majorBidi" w:hAnsiTheme="majorBidi" w:cstheme="majorBidi"/>
          <w:b/>
          <w:bCs/>
        </w:rPr>
        <w:t>Procedure</w:t>
      </w:r>
    </w:p>
    <w:p w:rsidR="000A3568" w:rsidRPr="001F18E2" w:rsidRDefault="000A3568" w:rsidP="000A3568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</w:tblGrid>
      <w:tr w:rsidR="000A3568" w:rsidRPr="003D17EB" w:rsidTr="00057DE7">
        <w:trPr>
          <w:cantSplit/>
        </w:trPr>
        <w:tc>
          <w:tcPr>
            <w:tcW w:w="6905" w:type="dxa"/>
            <w:noWrap/>
            <w:hideMark/>
          </w:tcPr>
          <w:p w:rsidR="000A3568" w:rsidRPr="003D17EB" w:rsidRDefault="000A3568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D17EB">
              <w:rPr>
                <w:rFonts w:asciiTheme="majorBidi" w:hAnsiTheme="majorBidi" w:cstheme="majorBidi"/>
                <w:sz w:val="20"/>
                <w:szCs w:val="20"/>
              </w:rPr>
              <w:t>Agmon</w:t>
            </w:r>
            <w:proofErr w:type="spellEnd"/>
            <w:r w:rsidRPr="003D17EB">
              <w:rPr>
                <w:rFonts w:asciiTheme="majorBidi" w:hAnsiTheme="majorBidi" w:cstheme="majorBidi"/>
                <w:sz w:val="20"/>
                <w:szCs w:val="20"/>
              </w:rPr>
              <w:t>, Iris. "Recording Procedures and Leg</w:t>
            </w:r>
            <w:bookmarkStart w:id="0" w:name="_GoBack"/>
            <w:bookmarkEnd w:id="0"/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al Culture in the Late Ottoman </w:t>
            </w:r>
            <w:proofErr w:type="spellStart"/>
            <w:r w:rsidRPr="003D17EB">
              <w:rPr>
                <w:rFonts w:asciiTheme="majorBidi" w:hAnsiTheme="majorBidi" w:cstheme="majorBidi"/>
                <w:sz w:val="20"/>
                <w:szCs w:val="20"/>
              </w:rPr>
              <w:t>Shari'a</w:t>
            </w:r>
            <w:proofErr w:type="spellEnd"/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 Court of Jaffa, 1865-1890." </w:t>
            </w:r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Islamic Law and Society</w:t>
            </w:r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 11(3) (2004): 333-377.</w:t>
            </w:r>
          </w:p>
        </w:tc>
      </w:tr>
      <w:tr w:rsidR="000A3568" w:rsidRPr="003D17EB" w:rsidTr="00057DE7">
        <w:trPr>
          <w:cantSplit/>
        </w:trPr>
        <w:tc>
          <w:tcPr>
            <w:tcW w:w="6905" w:type="dxa"/>
            <w:noWrap/>
          </w:tcPr>
          <w:p w:rsidR="000A3568" w:rsidRPr="003D17EB" w:rsidRDefault="000A3568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A3568" w:rsidRPr="003D17EB" w:rsidTr="00057DE7">
        <w:trPr>
          <w:cantSplit/>
        </w:trPr>
        <w:tc>
          <w:tcPr>
            <w:tcW w:w="6905" w:type="dxa"/>
            <w:noWrap/>
            <w:hideMark/>
          </w:tcPr>
          <w:p w:rsidR="000A3568" w:rsidRPr="003D17EB" w:rsidRDefault="000A3568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Friedman, Daniel. "Infusion of the Common Law into the Legal System of Israel." </w:t>
            </w:r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 10(3) (1975): 324-377. </w:t>
            </w:r>
          </w:p>
          <w:p w:rsidR="000A3568" w:rsidRPr="003D17EB" w:rsidRDefault="000A3568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A3568" w:rsidRPr="003D17EB" w:rsidTr="00057DE7">
        <w:trPr>
          <w:cantSplit/>
        </w:trPr>
        <w:tc>
          <w:tcPr>
            <w:tcW w:w="6905" w:type="dxa"/>
            <w:noWrap/>
            <w:hideMark/>
          </w:tcPr>
          <w:p w:rsidR="000A3568" w:rsidRPr="003D17EB" w:rsidRDefault="000A3568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Goldstein, Stephen. "Forty Years of Civil Procedure." </w:t>
            </w:r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 24(3-4) (1990): 789-806. [Also published in Hebrew (</w:t>
            </w:r>
            <w:proofErr w:type="spellStart"/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 19(4) (1990): 663-674)].</w:t>
            </w:r>
          </w:p>
          <w:p w:rsidR="000A3568" w:rsidRPr="003D17EB" w:rsidRDefault="000A3568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A3568" w:rsidRPr="003D17EB" w:rsidTr="00057DE7">
        <w:trPr>
          <w:cantSplit/>
        </w:trPr>
        <w:tc>
          <w:tcPr>
            <w:tcW w:w="6905" w:type="dxa"/>
            <w:noWrap/>
            <w:hideMark/>
          </w:tcPr>
          <w:p w:rsidR="000A3568" w:rsidRPr="003D17EB" w:rsidRDefault="000A3568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D17EB">
              <w:rPr>
                <w:rFonts w:asciiTheme="majorBidi" w:hAnsiTheme="majorBidi" w:cstheme="majorBidi"/>
                <w:sz w:val="20"/>
                <w:szCs w:val="20"/>
              </w:rPr>
              <w:t>Harnon</w:t>
            </w:r>
            <w:proofErr w:type="spellEnd"/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3D17EB">
              <w:rPr>
                <w:rFonts w:asciiTheme="majorBidi" w:hAnsiTheme="majorBidi" w:cstheme="majorBidi"/>
                <w:sz w:val="20"/>
                <w:szCs w:val="20"/>
              </w:rPr>
              <w:t>Eliahu</w:t>
            </w:r>
            <w:proofErr w:type="spellEnd"/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. "Criminal Procedure and Evidence." </w:t>
            </w:r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 24(3-4) (1990): 592-621. [Also published in Hebrew (</w:t>
            </w:r>
            <w:proofErr w:type="spellStart"/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 19(4) (1990): 703-724)].</w:t>
            </w:r>
          </w:p>
          <w:p w:rsidR="000A3568" w:rsidRPr="003D17EB" w:rsidRDefault="000A3568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A3568" w:rsidRPr="003D17EB" w:rsidTr="00057DE7">
        <w:trPr>
          <w:cantSplit/>
        </w:trPr>
        <w:tc>
          <w:tcPr>
            <w:tcW w:w="6905" w:type="dxa"/>
            <w:noWrap/>
            <w:hideMark/>
          </w:tcPr>
          <w:p w:rsidR="000A3568" w:rsidRPr="003D17EB" w:rsidRDefault="000A3568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Levin, </w:t>
            </w:r>
            <w:proofErr w:type="spellStart"/>
            <w:r w:rsidRPr="003D17EB">
              <w:rPr>
                <w:rFonts w:asciiTheme="majorBidi" w:hAnsiTheme="majorBidi" w:cstheme="majorBidi"/>
                <w:sz w:val="20"/>
                <w:szCs w:val="20"/>
              </w:rPr>
              <w:t>Shlomo</w:t>
            </w:r>
            <w:proofErr w:type="spellEnd"/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. "Comments on a Reform of the Rules of Civil Procedure (In Response to Prof. S. Goldstein)." </w:t>
            </w:r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 24(3-4) (1990): 807-811. [Also published in Hebrew (</w:t>
            </w:r>
            <w:proofErr w:type="spellStart"/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 19(4) (1990): 675-678)].  </w:t>
            </w:r>
          </w:p>
          <w:p w:rsidR="000A3568" w:rsidRPr="003D17EB" w:rsidRDefault="000A3568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</w:tr>
      <w:tr w:rsidR="000A3568" w:rsidRPr="003D17EB" w:rsidTr="00057DE7">
        <w:trPr>
          <w:cantSplit/>
        </w:trPr>
        <w:tc>
          <w:tcPr>
            <w:tcW w:w="6905" w:type="dxa"/>
            <w:noWrap/>
            <w:hideMark/>
          </w:tcPr>
          <w:p w:rsidR="000A3568" w:rsidRPr="003D17EB" w:rsidRDefault="000A3568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Mark, Maya. </w:t>
            </w:r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Administrative Courts and Authorities' Relationships in the Domains of Food Rationing and Rent Control during Israel's Formative Years</w:t>
            </w:r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 (2010) (unpublished LL.M. thesis, Tel-Aviv University) (Hebrew). </w:t>
            </w:r>
          </w:p>
          <w:p w:rsidR="000A3568" w:rsidRPr="003D17EB" w:rsidRDefault="000A3568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A3568" w:rsidRPr="003D17EB" w:rsidTr="00057DE7">
        <w:trPr>
          <w:cantSplit/>
        </w:trPr>
        <w:tc>
          <w:tcPr>
            <w:tcW w:w="6905" w:type="dxa"/>
            <w:noWrap/>
            <w:hideMark/>
          </w:tcPr>
          <w:p w:rsidR="000A3568" w:rsidRPr="003D17EB" w:rsidRDefault="000A3568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D17EB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, Menachem. </w:t>
            </w:r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Decline of Formalism and the Rise of Values in Israeli Law</w:t>
            </w:r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. Tel-Aviv: </w:t>
            </w:r>
            <w:proofErr w:type="spellStart"/>
            <w:r w:rsidRPr="003D17EB">
              <w:rPr>
                <w:rFonts w:asciiTheme="majorBidi" w:hAnsiTheme="majorBidi" w:cstheme="majorBidi"/>
                <w:sz w:val="20"/>
                <w:szCs w:val="20"/>
              </w:rPr>
              <w:t>Ma'agalay</w:t>
            </w:r>
            <w:proofErr w:type="spellEnd"/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D17EB">
              <w:rPr>
                <w:rFonts w:asciiTheme="majorBidi" w:hAnsiTheme="majorBidi" w:cstheme="majorBidi"/>
                <w:sz w:val="20"/>
                <w:szCs w:val="20"/>
              </w:rPr>
              <w:t>Da'at</w:t>
            </w:r>
            <w:proofErr w:type="spellEnd"/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 (1993) (Hebrew).</w:t>
            </w:r>
          </w:p>
        </w:tc>
      </w:tr>
      <w:tr w:rsidR="000A3568" w:rsidRPr="003D17EB" w:rsidTr="00057DE7">
        <w:trPr>
          <w:cantSplit/>
        </w:trPr>
        <w:tc>
          <w:tcPr>
            <w:tcW w:w="6905" w:type="dxa"/>
            <w:noWrap/>
            <w:hideMark/>
          </w:tcPr>
          <w:p w:rsidR="000A3568" w:rsidRPr="003D17EB" w:rsidRDefault="000A3568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–––––. "Rules and Standards in the New Civil Legislation." </w:t>
            </w:r>
            <w:proofErr w:type="spellStart"/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 17 (1987): 321-352 (Hebrew). </w:t>
            </w:r>
          </w:p>
          <w:p w:rsidR="000A3568" w:rsidRPr="003D17EB" w:rsidRDefault="000A3568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A3568" w:rsidRPr="003D17EB" w:rsidTr="00057DE7">
        <w:trPr>
          <w:cantSplit/>
        </w:trPr>
        <w:tc>
          <w:tcPr>
            <w:tcW w:w="6905" w:type="dxa"/>
            <w:noWrap/>
            <w:hideMark/>
          </w:tcPr>
          <w:p w:rsidR="000A3568" w:rsidRPr="003D17EB" w:rsidRDefault="000A3568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D17EB">
              <w:rPr>
                <w:rFonts w:asciiTheme="majorBidi" w:hAnsiTheme="majorBidi" w:cstheme="majorBidi"/>
                <w:sz w:val="20"/>
                <w:szCs w:val="20"/>
              </w:rPr>
              <w:t>Naor</w:t>
            </w:r>
            <w:proofErr w:type="spellEnd"/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, Miriam. "Procedure and Evidence in Criminal Trials (In Response to Prof. E. </w:t>
            </w:r>
            <w:proofErr w:type="spellStart"/>
            <w:r w:rsidRPr="003D17EB">
              <w:rPr>
                <w:rFonts w:asciiTheme="majorBidi" w:hAnsiTheme="majorBidi" w:cstheme="majorBidi"/>
                <w:sz w:val="20"/>
                <w:szCs w:val="20"/>
              </w:rPr>
              <w:t>Harnon</w:t>
            </w:r>
            <w:proofErr w:type="spellEnd"/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)." </w:t>
            </w:r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 24(3-4) (1990): 622-627. [Also published in Hebrew (</w:t>
            </w:r>
            <w:proofErr w:type="spellStart"/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 19(4) (1990): 725-728)].</w:t>
            </w:r>
          </w:p>
          <w:p w:rsidR="000A3568" w:rsidRPr="003D17EB" w:rsidRDefault="000A3568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A3568" w:rsidRPr="003D17EB" w:rsidTr="00057DE7">
        <w:trPr>
          <w:cantSplit/>
        </w:trPr>
        <w:tc>
          <w:tcPr>
            <w:tcW w:w="6905" w:type="dxa"/>
            <w:noWrap/>
            <w:hideMark/>
          </w:tcPr>
          <w:p w:rsidR="000A3568" w:rsidRPr="003D17EB" w:rsidRDefault="000A3568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D17EB">
              <w:rPr>
                <w:rFonts w:asciiTheme="majorBidi" w:hAnsiTheme="majorBidi" w:cstheme="majorBidi"/>
                <w:sz w:val="20"/>
                <w:szCs w:val="20"/>
              </w:rPr>
              <w:t>Radzyner</w:t>
            </w:r>
            <w:proofErr w:type="spellEnd"/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3D17EB">
              <w:rPr>
                <w:rFonts w:asciiTheme="majorBidi" w:hAnsiTheme="majorBidi" w:cstheme="majorBidi"/>
                <w:sz w:val="20"/>
                <w:szCs w:val="20"/>
              </w:rPr>
              <w:t>Amihai</w:t>
            </w:r>
            <w:proofErr w:type="spellEnd"/>
            <w:r w:rsidRPr="003D17EB">
              <w:rPr>
                <w:rFonts w:asciiTheme="majorBidi" w:hAnsiTheme="majorBidi" w:cstheme="majorBidi"/>
                <w:sz w:val="20"/>
                <w:szCs w:val="20"/>
              </w:rPr>
              <w:t>. "The Origins of Procedural Regulations for Rabbinical Courts: '</w:t>
            </w:r>
            <w:proofErr w:type="spellStart"/>
            <w:r w:rsidRPr="003D17EB">
              <w:rPr>
                <w:rFonts w:asciiTheme="majorBidi" w:hAnsiTheme="majorBidi" w:cstheme="majorBidi"/>
                <w:sz w:val="20"/>
                <w:szCs w:val="20"/>
              </w:rPr>
              <w:t>Sidrei</w:t>
            </w:r>
            <w:proofErr w:type="spellEnd"/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 Ha-</w:t>
            </w:r>
            <w:proofErr w:type="spellStart"/>
            <w:r w:rsidRPr="003D17EB">
              <w:rPr>
                <w:rFonts w:asciiTheme="majorBidi" w:hAnsiTheme="majorBidi" w:cstheme="majorBidi"/>
                <w:sz w:val="20"/>
                <w:szCs w:val="20"/>
              </w:rPr>
              <w:t>Mishpatim</w:t>
            </w:r>
            <w:proofErr w:type="spellEnd"/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', 1921." </w:t>
            </w:r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 </w:t>
            </w:r>
            <w:r w:rsidRPr="003D17EB">
              <w:rPr>
                <w:rFonts w:asciiTheme="majorBidi" w:hAnsiTheme="majorBidi" w:cstheme="majorBidi"/>
                <w:sz w:val="20"/>
                <w:szCs w:val="20"/>
              </w:rPr>
              <w:t>25(1) (2009): 37-75 (Hebrew).</w:t>
            </w:r>
          </w:p>
        </w:tc>
      </w:tr>
      <w:tr w:rsidR="000A3568" w:rsidRPr="003D17EB" w:rsidTr="00057DE7">
        <w:trPr>
          <w:cantSplit/>
        </w:trPr>
        <w:tc>
          <w:tcPr>
            <w:tcW w:w="6905" w:type="dxa"/>
            <w:noWrap/>
            <w:hideMark/>
          </w:tcPr>
          <w:p w:rsidR="000A3568" w:rsidRPr="003D17EB" w:rsidRDefault="000A3568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D17EB">
              <w:rPr>
                <w:rFonts w:asciiTheme="majorBidi" w:hAnsiTheme="majorBidi" w:cstheme="majorBidi"/>
                <w:sz w:val="20"/>
                <w:szCs w:val="20"/>
              </w:rPr>
              <w:t>–––––. "The Origins of Procedural Regulations for Rabbinical Courts: '</w:t>
            </w:r>
            <w:proofErr w:type="spellStart"/>
            <w:r w:rsidRPr="003D17EB">
              <w:rPr>
                <w:rFonts w:asciiTheme="majorBidi" w:hAnsiTheme="majorBidi" w:cstheme="majorBidi"/>
                <w:sz w:val="20"/>
                <w:szCs w:val="20"/>
              </w:rPr>
              <w:t>Takkanot</w:t>
            </w:r>
            <w:proofErr w:type="spellEnd"/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 Ha-</w:t>
            </w:r>
            <w:proofErr w:type="spellStart"/>
            <w:r w:rsidRPr="003D17EB">
              <w:rPr>
                <w:rFonts w:asciiTheme="majorBidi" w:hAnsiTheme="majorBidi" w:cstheme="majorBidi"/>
                <w:sz w:val="20"/>
                <w:szCs w:val="20"/>
              </w:rPr>
              <w:t>Diyun</w:t>
            </w:r>
            <w:proofErr w:type="spellEnd"/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', 1943." </w:t>
            </w:r>
            <w:proofErr w:type="spellStart"/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Diné</w:t>
            </w:r>
            <w:proofErr w:type="spellEnd"/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</w:t>
            </w:r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 25 (2008): 185-260 (Hebrew).</w:t>
            </w:r>
          </w:p>
          <w:p w:rsidR="000A3568" w:rsidRPr="003D17EB" w:rsidRDefault="000A3568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A3568" w:rsidRPr="003D17EB" w:rsidTr="00057DE7">
        <w:trPr>
          <w:cantSplit/>
        </w:trPr>
        <w:tc>
          <w:tcPr>
            <w:tcW w:w="6905" w:type="dxa"/>
            <w:noWrap/>
            <w:hideMark/>
          </w:tcPr>
          <w:p w:rsidR="000A3568" w:rsidRPr="003D17EB" w:rsidRDefault="000A3568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D17E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Shetreet</w:t>
            </w:r>
            <w:proofErr w:type="spellEnd"/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, Shimon. </w:t>
            </w:r>
            <w:r w:rsidRPr="003D17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Justice in Israel: A Study of the Israeli Judiciary</w:t>
            </w:r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. Dordrecht: </w:t>
            </w:r>
            <w:proofErr w:type="spellStart"/>
            <w:r w:rsidRPr="003D17EB">
              <w:rPr>
                <w:rFonts w:asciiTheme="majorBidi" w:hAnsiTheme="majorBidi" w:cstheme="majorBidi"/>
                <w:sz w:val="20"/>
                <w:szCs w:val="20"/>
              </w:rPr>
              <w:t>Martinus</w:t>
            </w:r>
            <w:proofErr w:type="spellEnd"/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D17EB">
              <w:rPr>
                <w:rFonts w:asciiTheme="majorBidi" w:hAnsiTheme="majorBidi" w:cstheme="majorBidi"/>
                <w:sz w:val="20"/>
                <w:szCs w:val="20"/>
              </w:rPr>
              <w:t>Nijhoff</w:t>
            </w:r>
            <w:proofErr w:type="spellEnd"/>
            <w:r w:rsidRPr="003D17EB">
              <w:rPr>
                <w:rFonts w:asciiTheme="majorBidi" w:hAnsiTheme="majorBidi" w:cstheme="majorBidi"/>
                <w:sz w:val="20"/>
                <w:szCs w:val="20"/>
              </w:rPr>
              <w:t xml:space="preserve"> (1994).</w:t>
            </w:r>
          </w:p>
        </w:tc>
      </w:tr>
    </w:tbl>
    <w:p w:rsidR="004C393D" w:rsidRPr="000A3568" w:rsidRDefault="004C393D" w:rsidP="000A3568"/>
    <w:sectPr w:rsidR="004C393D" w:rsidRPr="000A3568" w:rsidSect="00DB008A">
      <w:footerReference w:type="default" r:id="rId8"/>
      <w:pgSz w:w="11906" w:h="16838"/>
      <w:pgMar w:top="3119" w:right="2552" w:bottom="2948" w:left="2665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97" w:rsidRDefault="00EA3C97" w:rsidP="00372782">
      <w:pPr>
        <w:spacing w:after="0" w:line="240" w:lineRule="auto"/>
      </w:pPr>
      <w:r>
        <w:separator/>
      </w:r>
    </w:p>
  </w:endnote>
  <w:endnote w:type="continuationSeparator" w:id="0">
    <w:p w:rsidR="00EA3C97" w:rsidRDefault="00EA3C97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3D17EB" w:rsidRPr="003D17EB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97" w:rsidRDefault="00EA3C97" w:rsidP="00372782">
      <w:pPr>
        <w:spacing w:after="0" w:line="240" w:lineRule="auto"/>
      </w:pPr>
      <w:r>
        <w:separator/>
      </w:r>
    </w:p>
  </w:footnote>
  <w:footnote w:type="continuationSeparator" w:id="0">
    <w:p w:rsidR="00EA3C97" w:rsidRDefault="00EA3C97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3568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17EB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566ED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3C97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916D-35BD-4ADC-8507-06CFE842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3</cp:revision>
  <dcterms:created xsi:type="dcterms:W3CDTF">2017-05-12T14:25:00Z</dcterms:created>
  <dcterms:modified xsi:type="dcterms:W3CDTF">2017-05-12T14:50:00Z</dcterms:modified>
</cp:coreProperties>
</file>