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D2" w:rsidRDefault="00FE75D2" w:rsidP="00FE75D2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7820C1">
        <w:rPr>
          <w:rFonts w:asciiTheme="majorBidi" w:hAnsiTheme="majorBidi" w:cstheme="majorBidi"/>
          <w:b/>
          <w:bCs/>
        </w:rPr>
        <w:t>Tax Law</w:t>
      </w:r>
    </w:p>
    <w:p w:rsidR="00FE75D2" w:rsidRPr="007820C1" w:rsidRDefault="00FE75D2" w:rsidP="00FE75D2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5"/>
      </w:tblGrid>
      <w:tr w:rsidR="00FE75D2" w:rsidRPr="004D3C37" w:rsidTr="00057DE7">
        <w:trPr>
          <w:cantSplit/>
        </w:trPr>
        <w:tc>
          <w:tcPr>
            <w:tcW w:w="6905" w:type="dxa"/>
            <w:noWrap/>
            <w:hideMark/>
          </w:tcPr>
          <w:p w:rsidR="00FE75D2" w:rsidRPr="004D3C37" w:rsidRDefault="00FE75D2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3C37">
              <w:rPr>
                <w:rFonts w:asciiTheme="majorBidi" w:hAnsiTheme="majorBidi" w:cstheme="majorBidi"/>
                <w:sz w:val="20"/>
                <w:szCs w:val="20"/>
              </w:rPr>
              <w:t xml:space="preserve">Dagan </w:t>
            </w:r>
            <w:proofErr w:type="spellStart"/>
            <w:r w:rsidRPr="004D3C37">
              <w:rPr>
                <w:rFonts w:asciiTheme="majorBidi" w:hAnsiTheme="majorBidi" w:cstheme="majorBidi"/>
                <w:sz w:val="20"/>
                <w:szCs w:val="20"/>
              </w:rPr>
              <w:t>Tsilly</w:t>
            </w:r>
            <w:proofErr w:type="spellEnd"/>
            <w:r w:rsidRPr="004D3C37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4D3C37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4D3C3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D3C37">
              <w:rPr>
                <w:rFonts w:asciiTheme="majorBidi" w:hAnsiTheme="majorBidi" w:cstheme="majorBidi"/>
                <w:sz w:val="20"/>
                <w:szCs w:val="20"/>
              </w:rPr>
              <w:t>Lik</w:t>
            </w:r>
            <w:bookmarkStart w:id="0" w:name="_GoBack"/>
            <w:bookmarkEnd w:id="0"/>
            <w:r w:rsidRPr="004D3C37">
              <w:rPr>
                <w:rFonts w:asciiTheme="majorBidi" w:hAnsiTheme="majorBidi" w:cstheme="majorBidi"/>
                <w:sz w:val="20"/>
                <w:szCs w:val="20"/>
              </w:rPr>
              <w:t>hovski</w:t>
            </w:r>
            <w:proofErr w:type="spellEnd"/>
            <w:r w:rsidRPr="004D3C37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4D3C37">
              <w:rPr>
                <w:rFonts w:asciiTheme="majorBidi" w:hAnsiTheme="majorBidi" w:cstheme="majorBidi"/>
                <w:sz w:val="20"/>
                <w:szCs w:val="20"/>
              </w:rPr>
              <w:t>Yoram</w:t>
            </w:r>
            <w:proofErr w:type="spellEnd"/>
            <w:r w:rsidRPr="004D3C3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D3C37">
              <w:rPr>
                <w:rFonts w:asciiTheme="majorBidi" w:hAnsiTheme="majorBidi" w:cstheme="majorBidi"/>
                <w:sz w:val="20"/>
                <w:szCs w:val="20"/>
              </w:rPr>
              <w:t>Margalioth</w:t>
            </w:r>
            <w:proofErr w:type="spellEnd"/>
            <w:r w:rsidRPr="004D3C37">
              <w:rPr>
                <w:rFonts w:asciiTheme="majorBidi" w:hAnsiTheme="majorBidi" w:cstheme="majorBidi"/>
                <w:sz w:val="20"/>
                <w:szCs w:val="20"/>
              </w:rPr>
              <w:t xml:space="preserve">. "The Legacy of English Tax Law in Israel." </w:t>
            </w:r>
            <w:r w:rsidRPr="004D3C3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British Tax Review</w:t>
            </w:r>
            <w:r w:rsidRPr="004D3C37">
              <w:rPr>
                <w:rFonts w:asciiTheme="majorBidi" w:hAnsiTheme="majorBidi" w:cstheme="majorBidi"/>
                <w:sz w:val="20"/>
                <w:szCs w:val="20"/>
              </w:rPr>
              <w:t xml:space="preserve"> (2008): 271-284.</w:t>
            </w:r>
          </w:p>
          <w:p w:rsidR="00FE75D2" w:rsidRPr="004D3C37" w:rsidRDefault="00FE75D2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75D2" w:rsidRPr="004D3C37" w:rsidTr="00057DE7">
        <w:trPr>
          <w:cantSplit/>
        </w:trPr>
        <w:tc>
          <w:tcPr>
            <w:tcW w:w="6905" w:type="dxa"/>
            <w:noWrap/>
            <w:hideMark/>
          </w:tcPr>
          <w:p w:rsidR="00FE75D2" w:rsidRPr="004D3C37" w:rsidRDefault="00FE75D2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D3C37">
              <w:rPr>
                <w:rFonts w:asciiTheme="majorBidi" w:hAnsiTheme="majorBidi" w:cstheme="majorBidi"/>
                <w:sz w:val="20"/>
                <w:szCs w:val="20"/>
              </w:rPr>
              <w:t>Flomin</w:t>
            </w:r>
            <w:proofErr w:type="spellEnd"/>
            <w:r w:rsidRPr="004D3C37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4D3C37">
              <w:rPr>
                <w:rFonts w:asciiTheme="majorBidi" w:hAnsiTheme="majorBidi" w:cstheme="majorBidi"/>
                <w:sz w:val="20"/>
                <w:szCs w:val="20"/>
              </w:rPr>
              <w:t>Yehezkel</w:t>
            </w:r>
            <w:proofErr w:type="spellEnd"/>
            <w:r w:rsidRPr="004D3C37">
              <w:rPr>
                <w:rFonts w:asciiTheme="majorBidi" w:hAnsiTheme="majorBidi" w:cstheme="majorBidi"/>
                <w:sz w:val="20"/>
                <w:szCs w:val="20"/>
              </w:rPr>
              <w:t xml:space="preserve">. "Forty Years of Tax Law in Israel (In Response to Prof. A. </w:t>
            </w:r>
            <w:proofErr w:type="spellStart"/>
            <w:r w:rsidRPr="004D3C37">
              <w:rPr>
                <w:rFonts w:asciiTheme="majorBidi" w:hAnsiTheme="majorBidi" w:cstheme="majorBidi"/>
                <w:sz w:val="20"/>
                <w:szCs w:val="20"/>
              </w:rPr>
              <w:t>Yoran</w:t>
            </w:r>
            <w:proofErr w:type="spellEnd"/>
            <w:r w:rsidRPr="004D3C37">
              <w:rPr>
                <w:rFonts w:asciiTheme="majorBidi" w:hAnsiTheme="majorBidi" w:cstheme="majorBidi"/>
                <w:sz w:val="20"/>
                <w:szCs w:val="20"/>
              </w:rPr>
              <w:t xml:space="preserve">)." </w:t>
            </w:r>
            <w:r w:rsidRPr="004D3C3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4D3C37">
              <w:rPr>
                <w:rFonts w:asciiTheme="majorBidi" w:hAnsiTheme="majorBidi" w:cstheme="majorBidi"/>
                <w:sz w:val="20"/>
                <w:szCs w:val="20"/>
              </w:rPr>
              <w:t xml:space="preserve"> 24(3-4) (1990): 786-788. [Also published in Hebrew (</w:t>
            </w:r>
            <w:proofErr w:type="spellStart"/>
            <w:r w:rsidRPr="004D3C3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4D3C3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4D3C37">
              <w:rPr>
                <w:rFonts w:asciiTheme="majorBidi" w:hAnsiTheme="majorBidi" w:cstheme="majorBidi"/>
                <w:sz w:val="20"/>
                <w:szCs w:val="20"/>
              </w:rPr>
              <w:t xml:space="preserve"> 19(4) (1990): 785-786)].</w:t>
            </w:r>
          </w:p>
          <w:p w:rsidR="00FE75D2" w:rsidRPr="004D3C37" w:rsidRDefault="00FE75D2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75D2" w:rsidRPr="004D3C37" w:rsidTr="00057DE7">
        <w:trPr>
          <w:cantSplit/>
        </w:trPr>
        <w:tc>
          <w:tcPr>
            <w:tcW w:w="6905" w:type="dxa"/>
            <w:noWrap/>
            <w:hideMark/>
          </w:tcPr>
          <w:p w:rsidR="00FE75D2" w:rsidRPr="004D3C37" w:rsidRDefault="00FE75D2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D3C37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4D3C37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4D3C37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4D3C37">
              <w:rPr>
                <w:rFonts w:asciiTheme="majorBidi" w:hAnsiTheme="majorBidi" w:cstheme="majorBidi"/>
                <w:sz w:val="20"/>
                <w:szCs w:val="20"/>
              </w:rPr>
              <w:t xml:space="preserve">. "Chasing Ghosts: On the Possibility of Writing Cultural Histories of Tax Law." </w:t>
            </w:r>
            <w:r w:rsidRPr="004D3C3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Irvine Law Review</w:t>
            </w:r>
            <w:r w:rsidRPr="004D3C37">
              <w:rPr>
                <w:rFonts w:asciiTheme="majorBidi" w:hAnsiTheme="majorBidi" w:cstheme="majorBidi"/>
                <w:sz w:val="20"/>
                <w:szCs w:val="20"/>
              </w:rPr>
              <w:t xml:space="preserve"> 1(3) (2011): 843-892.</w:t>
            </w:r>
          </w:p>
        </w:tc>
      </w:tr>
      <w:tr w:rsidR="00FE75D2" w:rsidRPr="004D3C37" w:rsidTr="00057DE7">
        <w:trPr>
          <w:cantSplit/>
        </w:trPr>
        <w:tc>
          <w:tcPr>
            <w:tcW w:w="6905" w:type="dxa"/>
            <w:noWrap/>
            <w:hideMark/>
          </w:tcPr>
          <w:p w:rsidR="00FE75D2" w:rsidRPr="004D3C37" w:rsidRDefault="00FE75D2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3C37">
              <w:rPr>
                <w:rFonts w:asciiTheme="majorBidi" w:hAnsiTheme="majorBidi" w:cstheme="majorBidi"/>
                <w:sz w:val="20"/>
                <w:szCs w:val="20"/>
              </w:rPr>
              <w:t xml:space="preserve">–––––. "Is Tax Law Culturally Specific? Lessons from the History of Income Tax Law in Mandatory Palestine." </w:t>
            </w:r>
            <w:r w:rsidRPr="004D3C3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4D3C37">
              <w:rPr>
                <w:rFonts w:asciiTheme="majorBidi" w:hAnsiTheme="majorBidi" w:cstheme="majorBidi"/>
                <w:sz w:val="20"/>
                <w:szCs w:val="20"/>
              </w:rPr>
              <w:t xml:space="preserve"> 11(2) (2010): 725-763. </w:t>
            </w:r>
          </w:p>
        </w:tc>
      </w:tr>
      <w:tr w:rsidR="00FE75D2" w:rsidRPr="004D3C37" w:rsidTr="00057DE7">
        <w:trPr>
          <w:cantSplit/>
        </w:trPr>
        <w:tc>
          <w:tcPr>
            <w:tcW w:w="6905" w:type="dxa"/>
            <w:noWrap/>
            <w:hideMark/>
          </w:tcPr>
          <w:p w:rsidR="00FE75D2" w:rsidRPr="004D3C37" w:rsidRDefault="00FE75D2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3C37">
              <w:rPr>
                <w:rFonts w:asciiTheme="majorBidi" w:hAnsiTheme="majorBidi" w:cstheme="majorBidi"/>
                <w:sz w:val="20"/>
                <w:szCs w:val="20"/>
              </w:rPr>
              <w:t xml:space="preserve">–––––. "Two </w:t>
            </w:r>
            <w:proofErr w:type="spellStart"/>
            <w:r w:rsidRPr="004D3C37">
              <w:rPr>
                <w:rFonts w:asciiTheme="majorBidi" w:hAnsiTheme="majorBidi" w:cstheme="majorBidi"/>
                <w:sz w:val="20"/>
                <w:szCs w:val="20"/>
              </w:rPr>
              <w:t>Horwitzian</w:t>
            </w:r>
            <w:proofErr w:type="spellEnd"/>
            <w:r w:rsidRPr="004D3C37">
              <w:rPr>
                <w:rFonts w:asciiTheme="majorBidi" w:hAnsiTheme="majorBidi" w:cstheme="majorBidi"/>
                <w:sz w:val="20"/>
                <w:szCs w:val="20"/>
              </w:rPr>
              <w:t xml:space="preserve"> Journeys." In Daniel W. Hamilton and Alfred L. Brophy eds. </w:t>
            </w:r>
            <w:r w:rsidRPr="004D3C3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Transformations in American Legal History: Essays in Honor of Professor Morton J. Horwitz</w:t>
            </w:r>
            <w:r w:rsidRPr="004D3C37">
              <w:rPr>
                <w:rFonts w:asciiTheme="majorBidi" w:hAnsiTheme="majorBidi" w:cstheme="majorBidi"/>
                <w:sz w:val="20"/>
                <w:szCs w:val="20"/>
              </w:rPr>
              <w:t xml:space="preserve">. Cambridge: Harvard University Press (2009): 300-318.  </w:t>
            </w:r>
          </w:p>
        </w:tc>
      </w:tr>
      <w:tr w:rsidR="00FE75D2" w:rsidRPr="004D3C37" w:rsidTr="00057DE7">
        <w:trPr>
          <w:cantSplit/>
        </w:trPr>
        <w:tc>
          <w:tcPr>
            <w:tcW w:w="6905" w:type="dxa"/>
            <w:noWrap/>
            <w:hideMark/>
          </w:tcPr>
          <w:p w:rsidR="00FE75D2" w:rsidRPr="004D3C37" w:rsidRDefault="00FE75D2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3C37">
              <w:rPr>
                <w:rFonts w:asciiTheme="majorBidi" w:hAnsiTheme="majorBidi" w:cstheme="majorBidi"/>
                <w:sz w:val="20"/>
                <w:szCs w:val="20"/>
              </w:rPr>
              <w:t xml:space="preserve">–––––. "'Training in Citizenship': Tax Compliance and Modernity." </w:t>
            </w:r>
            <w:r w:rsidRPr="004D3C3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Social Inquiry</w:t>
            </w:r>
            <w:r w:rsidRPr="004D3C37">
              <w:rPr>
                <w:rFonts w:asciiTheme="majorBidi" w:hAnsiTheme="majorBidi" w:cstheme="majorBidi"/>
                <w:sz w:val="20"/>
                <w:szCs w:val="20"/>
              </w:rPr>
              <w:t xml:space="preserve"> 32(3) (2007): 665-700. </w:t>
            </w:r>
          </w:p>
        </w:tc>
      </w:tr>
      <w:tr w:rsidR="00FE75D2" w:rsidRPr="004D3C37" w:rsidTr="00057DE7">
        <w:trPr>
          <w:cantSplit/>
        </w:trPr>
        <w:tc>
          <w:tcPr>
            <w:tcW w:w="6905" w:type="dxa"/>
            <w:noWrap/>
            <w:hideMark/>
          </w:tcPr>
          <w:p w:rsidR="00FE75D2" w:rsidRPr="004D3C37" w:rsidRDefault="00FE75D2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3C37">
              <w:rPr>
                <w:rFonts w:asciiTheme="majorBidi" w:hAnsiTheme="majorBidi" w:cstheme="majorBidi"/>
                <w:sz w:val="20"/>
                <w:szCs w:val="20"/>
              </w:rPr>
              <w:t xml:space="preserve">–––––. "Formalism and Israeli Anti-Avoidance Doctrines in the 1950s and 1960s." In John </w:t>
            </w:r>
            <w:proofErr w:type="spellStart"/>
            <w:r w:rsidRPr="004D3C37">
              <w:rPr>
                <w:rFonts w:asciiTheme="majorBidi" w:hAnsiTheme="majorBidi" w:cstheme="majorBidi"/>
                <w:sz w:val="20"/>
                <w:szCs w:val="20"/>
              </w:rPr>
              <w:t>Tiley</w:t>
            </w:r>
            <w:proofErr w:type="spellEnd"/>
            <w:r w:rsidRPr="004D3C37">
              <w:rPr>
                <w:rFonts w:asciiTheme="majorBidi" w:hAnsiTheme="majorBidi" w:cstheme="majorBidi"/>
                <w:sz w:val="20"/>
                <w:szCs w:val="20"/>
              </w:rPr>
              <w:t xml:space="preserve"> ed.</w:t>
            </w:r>
            <w:r w:rsidRPr="004D3C3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Studies in the History of Tax Law</w:t>
            </w:r>
            <w:r w:rsidRPr="004D3C37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4D3C3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4D3C37">
              <w:rPr>
                <w:rFonts w:asciiTheme="majorBidi" w:hAnsiTheme="majorBidi" w:cstheme="majorBidi"/>
                <w:sz w:val="20"/>
                <w:szCs w:val="20"/>
              </w:rPr>
              <w:t>Oxford: Hart (2004): 339-377.</w:t>
            </w:r>
          </w:p>
          <w:p w:rsidR="00FE75D2" w:rsidRPr="004D3C37" w:rsidRDefault="00FE75D2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75D2" w:rsidRPr="004D3C37" w:rsidTr="00057DE7">
        <w:trPr>
          <w:cantSplit/>
        </w:trPr>
        <w:tc>
          <w:tcPr>
            <w:tcW w:w="6905" w:type="dxa"/>
            <w:noWrap/>
            <w:hideMark/>
          </w:tcPr>
          <w:p w:rsidR="00FE75D2" w:rsidRPr="004D3C37" w:rsidRDefault="00FE75D2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D3C37">
              <w:rPr>
                <w:rFonts w:asciiTheme="majorBidi" w:hAnsiTheme="majorBidi" w:cstheme="majorBidi"/>
                <w:sz w:val="20"/>
                <w:szCs w:val="20"/>
              </w:rPr>
              <w:t>Witkon</w:t>
            </w:r>
            <w:proofErr w:type="spellEnd"/>
            <w:r w:rsidRPr="004D3C37">
              <w:rPr>
                <w:rFonts w:asciiTheme="majorBidi" w:hAnsiTheme="majorBidi" w:cstheme="majorBidi"/>
                <w:sz w:val="20"/>
                <w:szCs w:val="20"/>
              </w:rPr>
              <w:t>, Alfred.</w:t>
            </w:r>
            <w:r w:rsidRPr="004D3C3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Justice and the Judiciary</w:t>
            </w:r>
            <w:r w:rsidRPr="004D3C37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4D3C37">
              <w:rPr>
                <w:rFonts w:asciiTheme="majorBidi" w:hAnsiTheme="majorBidi" w:cstheme="majorBidi"/>
                <w:sz w:val="20"/>
                <w:szCs w:val="20"/>
              </w:rPr>
              <w:t>Schocken</w:t>
            </w:r>
            <w:proofErr w:type="spellEnd"/>
            <w:r w:rsidRPr="004D3C37">
              <w:rPr>
                <w:rFonts w:asciiTheme="majorBidi" w:hAnsiTheme="majorBidi" w:cstheme="majorBidi"/>
                <w:sz w:val="20"/>
                <w:szCs w:val="20"/>
              </w:rPr>
              <w:t xml:space="preserve"> (1988) (Hebrew).</w:t>
            </w:r>
          </w:p>
          <w:p w:rsidR="00FE75D2" w:rsidRPr="004D3C37" w:rsidRDefault="00FE75D2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75D2" w:rsidRPr="004D3C37" w:rsidTr="00057DE7">
        <w:trPr>
          <w:cantSplit/>
        </w:trPr>
        <w:tc>
          <w:tcPr>
            <w:tcW w:w="6905" w:type="dxa"/>
            <w:noWrap/>
            <w:hideMark/>
          </w:tcPr>
          <w:p w:rsidR="00FE75D2" w:rsidRPr="004D3C37" w:rsidRDefault="00FE75D2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D3C37">
              <w:rPr>
                <w:rFonts w:asciiTheme="majorBidi" w:hAnsiTheme="majorBidi" w:cstheme="majorBidi"/>
                <w:sz w:val="20"/>
                <w:szCs w:val="20"/>
              </w:rPr>
              <w:t>Yoran</w:t>
            </w:r>
            <w:proofErr w:type="spellEnd"/>
            <w:r w:rsidRPr="004D3C37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4D3C37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4D3C37">
              <w:rPr>
                <w:rFonts w:asciiTheme="majorBidi" w:hAnsiTheme="majorBidi" w:cstheme="majorBidi"/>
                <w:sz w:val="20"/>
                <w:szCs w:val="20"/>
              </w:rPr>
              <w:t>. "Forty Years of Tax Law in Israel."</w:t>
            </w:r>
            <w:r w:rsidRPr="004D3C3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 Law Review</w:t>
            </w:r>
            <w:r w:rsidRPr="004D3C37">
              <w:rPr>
                <w:rFonts w:asciiTheme="majorBidi" w:hAnsiTheme="majorBidi" w:cstheme="majorBidi"/>
                <w:sz w:val="20"/>
                <w:szCs w:val="20"/>
              </w:rPr>
              <w:t xml:space="preserve"> 24(3-4) (1990): 738-785. [Also published in Hebrew (</w:t>
            </w:r>
            <w:proofErr w:type="spellStart"/>
            <w:r w:rsidRPr="004D3C3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4D3C3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4D3C37">
              <w:rPr>
                <w:rFonts w:asciiTheme="majorBidi" w:hAnsiTheme="majorBidi" w:cstheme="majorBidi"/>
                <w:sz w:val="20"/>
                <w:szCs w:val="20"/>
              </w:rPr>
              <w:t xml:space="preserve"> 19(4) (1990): 755-784)]. </w:t>
            </w:r>
          </w:p>
          <w:p w:rsidR="00FE75D2" w:rsidRPr="004D3C37" w:rsidRDefault="00FE75D2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75D2" w:rsidRPr="004D3C37" w:rsidTr="00057DE7">
        <w:trPr>
          <w:cantSplit/>
        </w:trPr>
        <w:tc>
          <w:tcPr>
            <w:tcW w:w="6905" w:type="dxa"/>
            <w:noWrap/>
            <w:hideMark/>
          </w:tcPr>
          <w:p w:rsidR="00FE75D2" w:rsidRPr="004D3C37" w:rsidRDefault="00FE75D2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D3C37">
              <w:rPr>
                <w:rFonts w:asciiTheme="majorBidi" w:hAnsiTheme="majorBidi" w:cstheme="majorBidi"/>
                <w:sz w:val="20"/>
                <w:szCs w:val="20"/>
              </w:rPr>
              <w:t>Ziv</w:t>
            </w:r>
            <w:proofErr w:type="spellEnd"/>
            <w:r w:rsidRPr="004D3C37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4D3C37">
              <w:rPr>
                <w:rFonts w:asciiTheme="majorBidi" w:hAnsiTheme="majorBidi" w:cstheme="majorBidi"/>
                <w:sz w:val="20"/>
                <w:szCs w:val="20"/>
              </w:rPr>
              <w:t>Neta</w:t>
            </w:r>
            <w:proofErr w:type="spellEnd"/>
            <w:r w:rsidRPr="004D3C37">
              <w:rPr>
                <w:rFonts w:asciiTheme="majorBidi" w:hAnsiTheme="majorBidi" w:cstheme="majorBidi"/>
                <w:sz w:val="20"/>
                <w:szCs w:val="20"/>
              </w:rPr>
              <w:t xml:space="preserve">. "Taxing Minorities: The Struggle against Property Tax in Israel as a Form of Cultural Acknowledgment." </w:t>
            </w:r>
            <w:r w:rsidRPr="004D3C3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Tel-Aviv University Law Review </w:t>
            </w:r>
            <w:r w:rsidRPr="004D3C37">
              <w:rPr>
                <w:rFonts w:asciiTheme="majorBidi" w:hAnsiTheme="majorBidi" w:cstheme="majorBidi"/>
                <w:sz w:val="20"/>
                <w:szCs w:val="20"/>
              </w:rPr>
              <w:t>26(1) (2002): 197-239 (Hebrew).</w:t>
            </w:r>
          </w:p>
        </w:tc>
      </w:tr>
    </w:tbl>
    <w:p w:rsidR="004C393D" w:rsidRPr="00FE75D2" w:rsidRDefault="004C393D" w:rsidP="00FE75D2"/>
    <w:sectPr w:rsidR="004C393D" w:rsidRPr="00FE75D2" w:rsidSect="00DB008A">
      <w:footerReference w:type="default" r:id="rId8"/>
      <w:pgSz w:w="11906" w:h="16838"/>
      <w:pgMar w:top="3119" w:right="2552" w:bottom="2948" w:left="2665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8F" w:rsidRDefault="00576D8F" w:rsidP="00372782">
      <w:pPr>
        <w:spacing w:after="0" w:line="240" w:lineRule="auto"/>
      </w:pPr>
      <w:r>
        <w:separator/>
      </w:r>
    </w:p>
  </w:endnote>
  <w:endnote w:type="continuationSeparator" w:id="0">
    <w:p w:rsidR="00576D8F" w:rsidRDefault="00576D8F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4D3C37" w:rsidRPr="004D3C37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8F" w:rsidRDefault="00576D8F" w:rsidP="00372782">
      <w:pPr>
        <w:spacing w:after="0" w:line="240" w:lineRule="auto"/>
      </w:pPr>
      <w:r>
        <w:separator/>
      </w:r>
    </w:p>
  </w:footnote>
  <w:footnote w:type="continuationSeparator" w:id="0">
    <w:p w:rsidR="00576D8F" w:rsidRDefault="00576D8F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3C37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76D8F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327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5D2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136C5-1EFB-44BA-89D4-34B2BB69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3</cp:revision>
  <dcterms:created xsi:type="dcterms:W3CDTF">2017-05-12T14:05:00Z</dcterms:created>
  <dcterms:modified xsi:type="dcterms:W3CDTF">2017-05-12T14:51:00Z</dcterms:modified>
</cp:coreProperties>
</file>